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E2" w:rsidRPr="00A615A0" w:rsidRDefault="001978E2" w:rsidP="001978E2">
      <w:pPr>
        <w:spacing w:after="0"/>
        <w:ind w:left="708"/>
        <w:rPr>
          <w:rFonts w:asciiTheme="majorBidi" w:hAnsiTheme="majorBidi" w:cstheme="majorBidi"/>
          <w:sz w:val="24"/>
          <w:szCs w:val="24"/>
          <w:u w:val="single"/>
        </w:rPr>
      </w:pPr>
      <w:r w:rsidRPr="00A615A0">
        <w:rPr>
          <w:rFonts w:asciiTheme="majorBidi" w:hAnsiTheme="majorBidi" w:cstheme="majorBidi"/>
          <w:sz w:val="24"/>
          <w:szCs w:val="24"/>
          <w:u w:val="single"/>
        </w:rPr>
        <w:t xml:space="preserve">République Algérienne Démocratique Et populaire </w:t>
      </w:r>
    </w:p>
    <w:p w:rsidR="001978E2" w:rsidRPr="00A615A0" w:rsidRDefault="001978E2" w:rsidP="001978E2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  <w:r w:rsidRPr="00A615A0">
        <w:rPr>
          <w:rFonts w:asciiTheme="majorBidi" w:hAnsiTheme="majorBidi" w:cstheme="majorBidi"/>
          <w:sz w:val="24"/>
          <w:szCs w:val="24"/>
          <w:u w:val="single"/>
        </w:rPr>
        <w:t>Ministère de L’Enseigneme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nt Supérieur Et de la Recherche </w:t>
      </w:r>
      <w:r w:rsidRPr="00A615A0">
        <w:rPr>
          <w:rFonts w:asciiTheme="majorBidi" w:hAnsiTheme="majorBidi" w:cstheme="majorBidi"/>
          <w:sz w:val="24"/>
          <w:szCs w:val="24"/>
          <w:u w:val="single"/>
        </w:rPr>
        <w:t>Scientifique</w:t>
      </w:r>
    </w:p>
    <w:p w:rsidR="001978E2" w:rsidRPr="00A615A0" w:rsidRDefault="001978E2" w:rsidP="001978E2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  <w:r w:rsidRPr="00A615A0">
        <w:rPr>
          <w:rFonts w:asciiTheme="majorBidi" w:hAnsiTheme="majorBidi" w:cstheme="majorBidi"/>
          <w:sz w:val="24"/>
          <w:szCs w:val="24"/>
          <w:u w:val="single"/>
        </w:rPr>
        <w:t>Université</w:t>
      </w:r>
      <w:r w:rsidRPr="00A615A0">
        <w:rPr>
          <w:rFonts w:asciiTheme="majorBidi" w:hAnsiTheme="majorBidi" w:cstheme="majorBidi"/>
          <w:b/>
          <w:bCs/>
          <w:sz w:val="24"/>
          <w:szCs w:val="24"/>
          <w:u w:val="single"/>
        </w:rPr>
        <w:t> Mouloud Mammeri </w:t>
      </w:r>
      <w:r w:rsidRPr="00A615A0">
        <w:rPr>
          <w:rFonts w:asciiTheme="majorBidi" w:hAnsiTheme="majorBidi" w:cstheme="majorBidi"/>
          <w:sz w:val="24"/>
          <w:szCs w:val="24"/>
          <w:u w:val="single"/>
        </w:rPr>
        <w:t xml:space="preserve"> de Tizi-Ouzou </w:t>
      </w:r>
    </w:p>
    <w:p w:rsidR="001978E2" w:rsidRPr="00A615A0" w:rsidRDefault="001978E2" w:rsidP="001978E2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  <w:r w:rsidRPr="00A615A0">
        <w:rPr>
          <w:rFonts w:asciiTheme="majorBidi" w:hAnsiTheme="majorBidi" w:cstheme="majorBidi"/>
          <w:sz w:val="24"/>
          <w:szCs w:val="24"/>
          <w:u w:val="single"/>
        </w:rPr>
        <w:t xml:space="preserve">Bibliothèque Universitaire </w:t>
      </w:r>
    </w:p>
    <w:p w:rsidR="001978E2" w:rsidRPr="00A615A0" w:rsidRDefault="001978E2" w:rsidP="001978E2">
      <w:pPr>
        <w:rPr>
          <w:sz w:val="24"/>
          <w:szCs w:val="24"/>
        </w:rPr>
      </w:pPr>
    </w:p>
    <w:p w:rsidR="001978E2" w:rsidRPr="00A615A0" w:rsidRDefault="001978E2" w:rsidP="001978E2">
      <w:pPr>
        <w:tabs>
          <w:tab w:val="left" w:pos="5445"/>
        </w:tabs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A615A0">
        <w:rPr>
          <w:rFonts w:asciiTheme="majorBidi" w:hAnsiTheme="majorBidi" w:cstheme="majorBidi"/>
          <w:b/>
          <w:bCs/>
          <w:i/>
          <w:iCs/>
          <w:sz w:val="32"/>
          <w:szCs w:val="32"/>
        </w:rPr>
        <w:t>INFORMATION</w:t>
      </w:r>
      <w:r w:rsidRPr="00A615A0">
        <w:rPr>
          <w:noProof/>
          <w:sz w:val="32"/>
          <w:szCs w:val="32"/>
          <w:lang w:eastAsia="fr-FR"/>
        </w:rPr>
        <w:t xml:space="preserve"> </w:t>
      </w:r>
      <w:r>
        <w:rPr>
          <w:noProof/>
          <w:lang w:eastAsia="fr-FR"/>
        </w:rPr>
        <w:t xml:space="preserve">    </w:t>
      </w:r>
      <w:r>
        <w:rPr>
          <w:noProof/>
          <w:lang w:eastAsia="fr-FR"/>
        </w:rPr>
        <w:drawing>
          <wp:inline distT="0" distB="0" distL="0" distR="0">
            <wp:extent cx="1905000" cy="1028700"/>
            <wp:effectExtent l="19050" t="0" r="0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8E2" w:rsidRPr="00A615A0" w:rsidRDefault="001978E2" w:rsidP="001978E2">
      <w:pPr>
        <w:tabs>
          <w:tab w:val="left" w:pos="5445"/>
        </w:tabs>
        <w:rPr>
          <w:rFonts w:asciiTheme="majorBidi" w:hAnsiTheme="majorBidi" w:cstheme="majorBidi"/>
          <w:sz w:val="24"/>
          <w:szCs w:val="24"/>
        </w:rPr>
      </w:pPr>
    </w:p>
    <w:p w:rsidR="001978E2" w:rsidRPr="00A615A0" w:rsidRDefault="001978E2" w:rsidP="006433FA">
      <w:pPr>
        <w:tabs>
          <w:tab w:val="left" w:pos="5445"/>
        </w:tabs>
        <w:jc w:val="both"/>
        <w:rPr>
          <w:rFonts w:asciiTheme="majorBidi" w:hAnsiTheme="majorBidi" w:cstheme="majorBidi"/>
          <w:sz w:val="24"/>
          <w:szCs w:val="24"/>
        </w:rPr>
      </w:pPr>
      <w:r w:rsidRPr="00A615A0">
        <w:rPr>
          <w:rFonts w:asciiTheme="majorBidi" w:hAnsiTheme="majorBidi" w:cstheme="majorBidi"/>
          <w:sz w:val="24"/>
          <w:szCs w:val="24"/>
        </w:rPr>
        <w:t xml:space="preserve">         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A615A0">
        <w:rPr>
          <w:rFonts w:asciiTheme="majorBidi" w:hAnsiTheme="majorBidi" w:cstheme="majorBidi"/>
          <w:sz w:val="24"/>
          <w:szCs w:val="24"/>
        </w:rPr>
        <w:t>Nous informons  l’ensemble des</w:t>
      </w:r>
      <w:r w:rsidR="006433FA" w:rsidRPr="006433FA">
        <w:rPr>
          <w:rFonts w:asciiTheme="majorBidi" w:hAnsiTheme="majorBidi" w:cstheme="majorBidi"/>
          <w:sz w:val="24"/>
          <w:szCs w:val="24"/>
        </w:rPr>
        <w:t xml:space="preserve"> </w:t>
      </w:r>
      <w:r w:rsidR="006433FA" w:rsidRPr="003B4195">
        <w:rPr>
          <w:rFonts w:asciiTheme="majorBidi" w:hAnsiTheme="majorBidi" w:cstheme="majorBidi"/>
          <w:b/>
          <w:bCs/>
          <w:sz w:val="24"/>
          <w:szCs w:val="24"/>
        </w:rPr>
        <w:t xml:space="preserve">étudiants, </w:t>
      </w:r>
      <w:r w:rsidRPr="003B4195">
        <w:rPr>
          <w:rFonts w:asciiTheme="majorBidi" w:hAnsiTheme="majorBidi" w:cstheme="majorBidi"/>
          <w:b/>
          <w:bCs/>
          <w:sz w:val="24"/>
          <w:szCs w:val="24"/>
        </w:rPr>
        <w:t xml:space="preserve">enseignants et </w:t>
      </w:r>
      <w:r w:rsidR="006433FA" w:rsidRPr="003B4195">
        <w:rPr>
          <w:rFonts w:asciiTheme="majorBidi" w:hAnsiTheme="majorBidi" w:cstheme="majorBidi"/>
          <w:b/>
          <w:bCs/>
          <w:sz w:val="24"/>
          <w:szCs w:val="24"/>
        </w:rPr>
        <w:t>chercheurs</w:t>
      </w:r>
      <w:r w:rsidR="006433FA">
        <w:rPr>
          <w:rFonts w:asciiTheme="majorBidi" w:hAnsiTheme="majorBidi" w:cstheme="majorBidi"/>
          <w:sz w:val="24"/>
          <w:szCs w:val="24"/>
        </w:rPr>
        <w:t xml:space="preserve"> </w:t>
      </w:r>
      <w:r w:rsidRPr="00A615A0">
        <w:rPr>
          <w:rFonts w:asciiTheme="majorBidi" w:hAnsiTheme="majorBidi" w:cstheme="majorBidi"/>
          <w:sz w:val="24"/>
          <w:szCs w:val="24"/>
        </w:rPr>
        <w:t xml:space="preserve">de l’Université Mouloud MAMMERI, que les ressources documentaires de la </w:t>
      </w:r>
      <w:r w:rsidR="006433FA" w:rsidRPr="003B4195">
        <w:rPr>
          <w:rFonts w:asciiTheme="majorBidi" w:hAnsiTheme="majorBidi" w:cstheme="majorBidi"/>
          <w:b/>
          <w:bCs/>
          <w:sz w:val="24"/>
          <w:szCs w:val="24"/>
        </w:rPr>
        <w:t>base de données</w:t>
      </w:r>
      <w:r w:rsidR="006433FA">
        <w:rPr>
          <w:rFonts w:asciiTheme="majorBidi" w:hAnsiTheme="majorBidi" w:cstheme="majorBidi"/>
          <w:sz w:val="24"/>
          <w:szCs w:val="24"/>
        </w:rPr>
        <w:t xml:space="preserve"> </w:t>
      </w:r>
      <w:r w:rsidRPr="003B4195">
        <w:rPr>
          <w:rFonts w:asciiTheme="majorBidi" w:hAnsiTheme="majorBidi" w:cstheme="majorBidi"/>
          <w:b/>
          <w:bCs/>
          <w:sz w:val="24"/>
          <w:szCs w:val="24"/>
        </w:rPr>
        <w:t>techniques de l’ingénieur</w:t>
      </w:r>
      <w:r w:rsidRPr="00A615A0">
        <w:rPr>
          <w:rFonts w:asciiTheme="majorBidi" w:hAnsiTheme="majorBidi" w:cstheme="majorBidi"/>
          <w:sz w:val="24"/>
          <w:szCs w:val="24"/>
        </w:rPr>
        <w:t xml:space="preserve"> du groupe BIBLIOPHIL, sont disponibles en ligne aux </w:t>
      </w:r>
      <w:r w:rsidRPr="003B4195">
        <w:rPr>
          <w:rFonts w:asciiTheme="majorBidi" w:hAnsiTheme="majorBidi" w:cstheme="majorBidi"/>
          <w:b/>
          <w:bCs/>
          <w:sz w:val="24"/>
          <w:szCs w:val="24"/>
        </w:rPr>
        <w:t>médiathèques  de la bibliothèque universitaire</w:t>
      </w:r>
      <w:r w:rsidRPr="00A615A0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Pr="00A615A0">
        <w:rPr>
          <w:rFonts w:asciiTheme="majorBidi" w:hAnsiTheme="majorBidi" w:cstheme="majorBidi"/>
          <w:sz w:val="24"/>
          <w:szCs w:val="24"/>
        </w:rPr>
        <w:t>Hasnaoua</w:t>
      </w:r>
      <w:proofErr w:type="spellEnd"/>
      <w:r w:rsidRPr="00A615A0">
        <w:rPr>
          <w:rFonts w:asciiTheme="majorBidi" w:hAnsiTheme="majorBidi" w:cstheme="majorBidi"/>
          <w:sz w:val="24"/>
          <w:szCs w:val="24"/>
        </w:rPr>
        <w:t xml:space="preserve">-2-      </w:t>
      </w:r>
    </w:p>
    <w:p w:rsidR="001978E2" w:rsidRPr="00DB107A" w:rsidRDefault="001978E2" w:rsidP="001978E2">
      <w:pPr>
        <w:tabs>
          <w:tab w:val="left" w:pos="5445"/>
        </w:tabs>
        <w:rPr>
          <w:rFonts w:asciiTheme="majorBidi" w:hAnsiTheme="majorBidi" w:cstheme="majorBidi"/>
          <w:sz w:val="36"/>
          <w:szCs w:val="36"/>
        </w:rPr>
      </w:pPr>
      <w:r w:rsidRPr="00A615A0">
        <w:rPr>
          <w:rFonts w:asciiTheme="majorBidi" w:hAnsiTheme="majorBidi" w:cstheme="majorBidi"/>
          <w:sz w:val="24"/>
          <w:szCs w:val="24"/>
        </w:rPr>
        <w:t xml:space="preserve">   Articles disponibles :  </w:t>
      </w:r>
    </w:p>
    <w:p w:rsidR="006867C4" w:rsidRPr="006867C4" w:rsidRDefault="006867C4" w:rsidP="006867C4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6867C4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Revue Technique de L’Ingénieur</w:t>
      </w:r>
    </w:p>
    <w:tbl>
      <w:tblPr>
        <w:tblW w:w="10773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10773"/>
      </w:tblGrid>
      <w:tr w:rsidR="006867C4" w:rsidRPr="0019646E" w:rsidTr="006A2776">
        <w:trPr>
          <w:trHeight w:val="1272"/>
        </w:trPr>
        <w:tc>
          <w:tcPr>
            <w:tcW w:w="1077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6867C4" w:rsidRDefault="006867C4" w:rsidP="006867C4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  <w:lang w:eastAsia="fr-FR"/>
              </w:rPr>
            </w:pPr>
            <w:r w:rsidRPr="006867C4">
              <w:rPr>
                <w:rFonts w:eastAsia="Times New Roman" w:cs="Times New Roman"/>
                <w:b/>
                <w:bCs/>
                <w:u w:val="single"/>
                <w:lang w:eastAsia="fr-FR"/>
              </w:rPr>
              <w:t>Environnement</w:t>
            </w:r>
          </w:p>
          <w:p w:rsidR="006867C4" w:rsidRPr="006867C4" w:rsidRDefault="006867C4" w:rsidP="006867C4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  <w:lang w:eastAsia="fr-FR"/>
              </w:rPr>
            </w:pPr>
            <w:r w:rsidRPr="006867C4">
              <w:rPr>
                <w:rFonts w:eastAsia="Times New Roman" w:cs="Times New Roman"/>
                <w:i/>
                <w:iCs/>
                <w:lang w:eastAsia="fr-FR"/>
              </w:rPr>
              <w:t>ICPE : règlementions intégrée</w:t>
            </w:r>
          </w:p>
          <w:p w:rsidR="006867C4" w:rsidRPr="006867C4" w:rsidRDefault="006867C4" w:rsidP="006A2776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lang w:eastAsia="fr-FR"/>
              </w:rPr>
            </w:pPr>
            <w:r w:rsidRPr="006867C4">
              <w:rPr>
                <w:rFonts w:eastAsia="Times New Roman" w:cs="Times New Roman"/>
                <w:i/>
                <w:iCs/>
                <w:lang w:eastAsia="fr-FR"/>
              </w:rPr>
              <w:t>ICPE : répondre aux exigences réglementaires</w:t>
            </w:r>
            <w:r>
              <w:rPr>
                <w:rFonts w:eastAsia="Times New Roman" w:cs="Times New Roman"/>
                <w:i/>
                <w:iCs/>
                <w:lang w:eastAsia="fr-FR"/>
              </w:rPr>
              <w:t xml:space="preserve">                                           </w:t>
            </w:r>
            <w:r w:rsidR="00C66D4A">
              <w:rPr>
                <w:rFonts w:eastAsia="Times New Roman" w:cs="Times New Roman"/>
                <w:i/>
                <w:iCs/>
                <w:lang w:eastAsia="fr-FR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lang w:eastAsia="fr-FR"/>
              </w:rPr>
              <w:t xml:space="preserve">  </w:t>
            </w:r>
            <w:r w:rsidRPr="006867C4">
              <w:rPr>
                <w:rFonts w:eastAsia="Times New Roman" w:cs="Times New Roman"/>
                <w:b/>
                <w:bCs/>
                <w:u w:val="single"/>
                <w:lang w:eastAsia="fr-FR"/>
              </w:rPr>
              <w:t>Le second œuvre et les lots techniques</w:t>
            </w:r>
          </w:p>
          <w:p w:rsidR="006867C4" w:rsidRPr="006867C4" w:rsidRDefault="006867C4" w:rsidP="006F6AF2">
            <w:pPr>
              <w:spacing w:after="0" w:line="240" w:lineRule="auto"/>
              <w:rPr>
                <w:rFonts w:eastAsia="Times New Roman" w:cs="Times New Roman"/>
                <w:i/>
                <w:iCs/>
                <w:color w:val="FF0000"/>
                <w:lang w:eastAsia="fr-FR"/>
              </w:rPr>
            </w:pPr>
            <w:r w:rsidRPr="006867C4">
              <w:rPr>
                <w:rFonts w:eastAsia="Times New Roman" w:cs="Times New Roman"/>
                <w:i/>
                <w:iCs/>
                <w:lang w:eastAsia="fr-FR"/>
              </w:rPr>
              <w:t>-</w:t>
            </w:r>
            <w:r w:rsidRPr="006867C4">
              <w:rPr>
                <w:rFonts w:eastAsia="Times New Roman" w:cs="Times New Roman"/>
                <w:i/>
                <w:iCs/>
                <w:color w:val="FF0000"/>
                <w:lang w:eastAsia="fr-FR"/>
              </w:rPr>
              <w:t xml:space="preserve"> </w:t>
            </w:r>
            <w:r w:rsidRPr="006867C4">
              <w:rPr>
                <w:rFonts w:eastAsia="Times New Roman" w:cs="Times New Roman"/>
                <w:i/>
                <w:iCs/>
                <w:lang w:eastAsia="fr-FR"/>
              </w:rPr>
              <w:t>Fiches pratiques</w:t>
            </w:r>
          </w:p>
          <w:p w:rsidR="00A70EE9" w:rsidRPr="006867C4" w:rsidRDefault="006867C4" w:rsidP="00A70EE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fr-FR"/>
              </w:rPr>
            </w:pPr>
            <w:r w:rsidRPr="006867C4">
              <w:rPr>
                <w:rFonts w:eastAsia="Times New Roman" w:cs="Times New Roman"/>
                <w:i/>
                <w:iCs/>
                <w:lang w:eastAsia="fr-FR"/>
              </w:rPr>
              <w:t>Gérer une exploitation classée  - Fiches pratiques</w:t>
            </w:r>
            <w:r>
              <w:rPr>
                <w:rFonts w:eastAsia="Times New Roman" w:cs="Times New Roman"/>
                <w:i/>
                <w:iCs/>
                <w:lang w:eastAsia="fr-FR"/>
              </w:rPr>
              <w:t xml:space="preserve">                                   </w:t>
            </w:r>
            <w:r w:rsidR="004521B0">
              <w:rPr>
                <w:rFonts w:eastAsia="Times New Roman" w:cs="Times New Roman"/>
                <w:i/>
                <w:iCs/>
                <w:lang w:eastAsia="fr-FR"/>
              </w:rPr>
              <w:t xml:space="preserve">   </w:t>
            </w:r>
            <w:r>
              <w:rPr>
                <w:rFonts w:eastAsia="Times New Roman" w:cs="Times New Roman"/>
                <w:i/>
                <w:iCs/>
                <w:lang w:eastAsia="fr-FR"/>
              </w:rPr>
              <w:t xml:space="preserve"> </w:t>
            </w:r>
            <w:r w:rsidR="00C66D4A">
              <w:rPr>
                <w:rFonts w:eastAsia="Times New Roman" w:cs="Times New Roman"/>
                <w:i/>
                <w:iCs/>
                <w:lang w:eastAsia="fr-FR"/>
              </w:rPr>
              <w:t xml:space="preserve">          </w:t>
            </w:r>
            <w:r>
              <w:rPr>
                <w:rFonts w:eastAsia="Times New Roman" w:cs="Times New Roman"/>
                <w:i/>
                <w:iCs/>
                <w:lang w:eastAsia="fr-FR"/>
              </w:rPr>
              <w:t xml:space="preserve"> </w:t>
            </w:r>
            <w:r w:rsidRPr="006867C4">
              <w:rPr>
                <w:rFonts w:eastAsia="Times New Roman" w:cs="Times New Roman"/>
                <w:i/>
                <w:iCs/>
                <w:lang w:eastAsia="fr-FR"/>
              </w:rPr>
              <w:t>Isoler et revêtir les façades</w:t>
            </w:r>
          </w:p>
        </w:tc>
      </w:tr>
      <w:tr w:rsidR="006867C4" w:rsidRPr="0019646E" w:rsidTr="006A2776">
        <w:trPr>
          <w:trHeight w:val="675"/>
        </w:trPr>
        <w:tc>
          <w:tcPr>
            <w:tcW w:w="10773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:rsidR="006867C4" w:rsidRPr="006867C4" w:rsidRDefault="006867C4" w:rsidP="00A70EE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fr-FR"/>
              </w:rPr>
            </w:pPr>
            <w:r w:rsidRPr="006867C4">
              <w:rPr>
                <w:rFonts w:eastAsia="Times New Roman" w:cs="Times New Roman"/>
                <w:i/>
                <w:iCs/>
                <w:lang w:eastAsia="fr-FR"/>
              </w:rPr>
              <w:t>Règlementation environnementale par secteur</w:t>
            </w:r>
            <w:r w:rsidR="00A70EE9">
              <w:rPr>
                <w:rFonts w:eastAsia="Times New Roman" w:cs="Times New Roman"/>
                <w:i/>
                <w:iCs/>
                <w:lang w:eastAsia="fr-FR"/>
              </w:rPr>
              <w:t xml:space="preserve">                                         </w:t>
            </w:r>
            <w:r w:rsidR="006A2776">
              <w:rPr>
                <w:rFonts w:eastAsia="Times New Roman" w:cs="Times New Roman"/>
                <w:i/>
                <w:iCs/>
                <w:lang w:eastAsia="fr-FR"/>
              </w:rPr>
              <w:t xml:space="preserve"> </w:t>
            </w:r>
            <w:r w:rsidR="00C66D4A">
              <w:rPr>
                <w:rFonts w:eastAsia="Times New Roman" w:cs="Times New Roman"/>
                <w:i/>
                <w:iCs/>
                <w:lang w:eastAsia="fr-FR"/>
              </w:rPr>
              <w:t xml:space="preserve">          </w:t>
            </w:r>
            <w:r w:rsidR="006A2776">
              <w:rPr>
                <w:rFonts w:eastAsia="Times New Roman" w:cs="Times New Roman"/>
                <w:i/>
                <w:iCs/>
                <w:lang w:eastAsia="fr-FR"/>
              </w:rPr>
              <w:t xml:space="preserve"> </w:t>
            </w:r>
            <w:r w:rsidR="00C66D4A">
              <w:rPr>
                <w:rFonts w:eastAsia="Times New Roman" w:cs="Times New Roman"/>
                <w:i/>
                <w:iCs/>
                <w:lang w:eastAsia="fr-FR"/>
              </w:rPr>
              <w:t xml:space="preserve"> </w:t>
            </w:r>
            <w:r w:rsidR="00A70EE9" w:rsidRPr="006867C4">
              <w:rPr>
                <w:rFonts w:eastAsia="Times New Roman" w:cs="Times New Roman"/>
                <w:i/>
                <w:iCs/>
                <w:lang w:eastAsia="fr-FR"/>
              </w:rPr>
              <w:t>Revêtir les murs et les sols</w:t>
            </w:r>
          </w:p>
          <w:p w:rsidR="006867C4" w:rsidRPr="006867C4" w:rsidRDefault="006867C4" w:rsidP="00A70EE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fr-FR"/>
              </w:rPr>
            </w:pPr>
            <w:r w:rsidRPr="006867C4">
              <w:rPr>
                <w:rFonts w:eastAsia="Times New Roman" w:cs="Times New Roman"/>
                <w:i/>
                <w:iCs/>
                <w:lang w:eastAsia="fr-FR"/>
              </w:rPr>
              <w:t>Systèmes de management environnemental site</w:t>
            </w:r>
            <w:r w:rsidR="00A70EE9">
              <w:rPr>
                <w:rFonts w:eastAsia="Times New Roman" w:cs="Times New Roman"/>
                <w:i/>
                <w:iCs/>
                <w:lang w:eastAsia="fr-FR"/>
              </w:rPr>
              <w:t xml:space="preserve">                                        </w:t>
            </w:r>
            <w:r w:rsidR="00C66D4A">
              <w:rPr>
                <w:rFonts w:eastAsia="Times New Roman" w:cs="Times New Roman"/>
                <w:i/>
                <w:iCs/>
                <w:lang w:eastAsia="fr-FR"/>
              </w:rPr>
              <w:t xml:space="preserve">           </w:t>
            </w:r>
            <w:r w:rsidR="00A70EE9" w:rsidRPr="006867C4">
              <w:rPr>
                <w:rFonts w:eastAsia="Times New Roman" w:cs="Times New Roman"/>
                <w:i/>
                <w:iCs/>
                <w:lang w:eastAsia="fr-FR"/>
              </w:rPr>
              <w:t>L'eau sanitaire</w:t>
            </w:r>
          </w:p>
          <w:p w:rsidR="006867C4" w:rsidRPr="006867C4" w:rsidRDefault="006867C4" w:rsidP="00A70EE9">
            <w:pPr>
              <w:spacing w:after="0" w:line="240" w:lineRule="auto"/>
              <w:rPr>
                <w:rFonts w:eastAsia="Times New Roman" w:cs="Times New Roman"/>
                <w:i/>
                <w:iCs/>
                <w:lang w:eastAsia="fr-FR"/>
              </w:rPr>
            </w:pPr>
            <w:r w:rsidRPr="006867C4">
              <w:rPr>
                <w:rFonts w:eastAsia="Times New Roman" w:cs="Times New Roman"/>
                <w:i/>
                <w:iCs/>
                <w:lang w:eastAsia="fr-FR"/>
              </w:rPr>
              <w:t>Systèmes de management environnemental produit et ACV</w:t>
            </w:r>
            <w:r w:rsidR="00A70EE9">
              <w:rPr>
                <w:rFonts w:eastAsia="Times New Roman" w:cs="Times New Roman"/>
                <w:i/>
                <w:iCs/>
                <w:lang w:eastAsia="fr-FR"/>
              </w:rPr>
              <w:t xml:space="preserve">                    </w:t>
            </w:r>
            <w:r w:rsidR="00C66D4A">
              <w:rPr>
                <w:rFonts w:eastAsia="Times New Roman" w:cs="Times New Roman"/>
                <w:i/>
                <w:iCs/>
                <w:lang w:eastAsia="fr-FR"/>
              </w:rPr>
              <w:t xml:space="preserve">           </w:t>
            </w:r>
            <w:r w:rsidR="00A70EE9" w:rsidRPr="006867C4">
              <w:rPr>
                <w:rFonts w:eastAsia="Times New Roman" w:cs="Times New Roman"/>
                <w:i/>
                <w:iCs/>
                <w:lang w:eastAsia="fr-FR"/>
              </w:rPr>
              <w:t>La climatisation</w:t>
            </w:r>
            <w:r w:rsidR="00A70EE9">
              <w:rPr>
                <w:rFonts w:eastAsia="Times New Roman" w:cs="Times New Roman"/>
                <w:i/>
                <w:iCs/>
                <w:lang w:eastAsia="fr-FR"/>
              </w:rPr>
              <w:t xml:space="preserve">         </w:t>
            </w:r>
          </w:p>
          <w:p w:rsidR="006867C4" w:rsidRPr="006867C4" w:rsidRDefault="006867C4" w:rsidP="00A90146">
            <w:pPr>
              <w:spacing w:after="0" w:line="240" w:lineRule="auto"/>
              <w:rPr>
                <w:rFonts w:eastAsia="Times New Roman" w:cs="Times New Roman"/>
                <w:i/>
                <w:iCs/>
                <w:lang w:eastAsia="fr-FR"/>
              </w:rPr>
            </w:pPr>
            <w:r w:rsidRPr="006867C4">
              <w:rPr>
                <w:rFonts w:eastAsia="Times New Roman" w:cs="Times New Roman"/>
                <w:i/>
                <w:iCs/>
                <w:lang w:eastAsia="fr-FR"/>
              </w:rPr>
              <w:t>Systèmes de management du risque</w:t>
            </w:r>
            <w:r w:rsidR="00A70EE9" w:rsidRPr="006867C4">
              <w:rPr>
                <w:rFonts w:eastAsia="Times New Roman" w:cs="Times New Roman"/>
                <w:i/>
                <w:iCs/>
                <w:lang w:eastAsia="fr-FR"/>
              </w:rPr>
              <w:t xml:space="preserve"> Le chauffage</w:t>
            </w:r>
            <w:r w:rsidR="00A90146">
              <w:rPr>
                <w:rFonts w:eastAsia="Times New Roman" w:cs="Times New Roman"/>
                <w:i/>
                <w:iCs/>
                <w:lang w:eastAsia="fr-FR"/>
              </w:rPr>
              <w:t xml:space="preserve">                                     </w:t>
            </w:r>
            <w:r w:rsidR="00C66D4A">
              <w:rPr>
                <w:rFonts w:eastAsia="Times New Roman" w:cs="Times New Roman"/>
                <w:i/>
                <w:iCs/>
                <w:lang w:eastAsia="fr-FR"/>
              </w:rPr>
              <w:t xml:space="preserve">           </w:t>
            </w:r>
            <w:r w:rsidR="00A90146" w:rsidRPr="006867C4">
              <w:rPr>
                <w:rFonts w:eastAsia="Times New Roman" w:cs="Times New Roman"/>
                <w:i/>
                <w:iCs/>
                <w:lang w:eastAsia="fr-FR"/>
              </w:rPr>
              <w:t>L'électricité</w:t>
            </w:r>
          </w:p>
          <w:p w:rsidR="006A2776" w:rsidRPr="006867C4" w:rsidRDefault="006867C4" w:rsidP="006A2776">
            <w:pPr>
              <w:spacing w:after="0" w:line="240" w:lineRule="auto"/>
              <w:rPr>
                <w:rFonts w:eastAsia="Times New Roman" w:cs="Times New Roman"/>
                <w:i/>
                <w:iCs/>
                <w:lang w:eastAsia="fr-FR"/>
              </w:rPr>
            </w:pPr>
            <w:r w:rsidRPr="006867C4">
              <w:rPr>
                <w:rFonts w:eastAsia="Times New Roman" w:cs="Times New Roman"/>
                <w:i/>
                <w:iCs/>
                <w:lang w:eastAsia="fr-FR"/>
              </w:rPr>
              <w:t xml:space="preserve">Développement durable </w:t>
            </w:r>
            <w:r w:rsidR="00A168FF">
              <w:rPr>
                <w:rFonts w:eastAsia="Times New Roman" w:cs="Times New Roman"/>
                <w:i/>
                <w:iCs/>
                <w:lang w:eastAsia="fr-FR"/>
              </w:rPr>
              <w:t xml:space="preserve">                                                                                </w:t>
            </w:r>
            <w:r w:rsidR="00C66D4A">
              <w:rPr>
                <w:rFonts w:eastAsia="Times New Roman" w:cs="Times New Roman"/>
                <w:i/>
                <w:iCs/>
                <w:lang w:eastAsia="fr-FR"/>
              </w:rPr>
              <w:t xml:space="preserve">           </w:t>
            </w:r>
            <w:r w:rsidR="006A2776">
              <w:rPr>
                <w:rFonts w:eastAsia="Times New Roman" w:cs="Times New Roman"/>
                <w:i/>
                <w:iCs/>
                <w:lang w:eastAsia="fr-FR"/>
              </w:rPr>
              <w:t xml:space="preserve"> </w:t>
            </w:r>
            <w:r w:rsidR="00A168FF" w:rsidRPr="006867C4">
              <w:rPr>
                <w:rFonts w:eastAsia="Times New Roman" w:cs="Times New Roman"/>
                <w:i/>
                <w:iCs/>
                <w:lang w:eastAsia="fr-FR"/>
              </w:rPr>
              <w:t>Les circulations verticales</w:t>
            </w:r>
            <w:r w:rsidR="006A2776">
              <w:rPr>
                <w:rFonts w:eastAsia="Times New Roman" w:cs="Times New Roman"/>
                <w:i/>
                <w:iCs/>
                <w:lang w:eastAsia="fr-FR"/>
              </w:rPr>
              <w:t xml:space="preserve"> </w:t>
            </w:r>
          </w:p>
          <w:p w:rsidR="006867C4" w:rsidRPr="004C5F68" w:rsidRDefault="006867C4" w:rsidP="004C5F68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  <w:lang w:eastAsia="fr-FR"/>
              </w:rPr>
            </w:pPr>
            <w:r w:rsidRPr="006867C4">
              <w:rPr>
                <w:rFonts w:eastAsia="Times New Roman" w:cs="Times New Roman"/>
                <w:i/>
                <w:iCs/>
                <w:lang w:eastAsia="fr-FR"/>
              </w:rPr>
              <w:t>Eaux industrielles</w:t>
            </w:r>
            <w:r w:rsidR="004C5F68">
              <w:rPr>
                <w:rFonts w:eastAsia="Times New Roman" w:cs="Times New Roman"/>
                <w:i/>
                <w:iCs/>
                <w:lang w:eastAsia="fr-FR"/>
              </w:rPr>
              <w:t xml:space="preserve">                                                                                           </w:t>
            </w:r>
            <w:r w:rsidR="006A2776">
              <w:rPr>
                <w:rFonts w:eastAsia="Times New Roman" w:cs="Times New Roman"/>
                <w:i/>
                <w:iCs/>
                <w:lang w:eastAsia="fr-FR"/>
              </w:rPr>
              <w:t xml:space="preserve"> </w:t>
            </w:r>
            <w:r w:rsidR="00C66D4A">
              <w:rPr>
                <w:rFonts w:eastAsia="Times New Roman" w:cs="Times New Roman"/>
                <w:i/>
                <w:iCs/>
                <w:lang w:eastAsia="fr-FR"/>
              </w:rPr>
              <w:t xml:space="preserve">       </w:t>
            </w:r>
            <w:r w:rsidR="004C5F68" w:rsidRPr="006867C4">
              <w:rPr>
                <w:rFonts w:eastAsia="Times New Roman" w:cs="Times New Roman"/>
                <w:b/>
                <w:bCs/>
                <w:u w:val="single"/>
                <w:lang w:eastAsia="fr-FR"/>
              </w:rPr>
              <w:t>Préparer la construction</w:t>
            </w:r>
          </w:p>
          <w:p w:rsidR="006867C4" w:rsidRPr="006867C4" w:rsidRDefault="006867C4" w:rsidP="009252FD">
            <w:pPr>
              <w:spacing w:after="0" w:line="240" w:lineRule="auto"/>
              <w:rPr>
                <w:rFonts w:eastAsia="Times New Roman" w:cs="Times New Roman"/>
                <w:i/>
                <w:iCs/>
                <w:lang w:eastAsia="fr-FR"/>
              </w:rPr>
            </w:pPr>
            <w:r w:rsidRPr="006867C4">
              <w:rPr>
                <w:rFonts w:eastAsia="Times New Roman" w:cs="Times New Roman"/>
                <w:i/>
                <w:iCs/>
                <w:lang w:eastAsia="fr-FR"/>
              </w:rPr>
              <w:t>Réglementation et analyse de l'air</w:t>
            </w:r>
            <w:r w:rsidR="009252FD">
              <w:rPr>
                <w:rFonts w:eastAsia="Times New Roman" w:cs="Times New Roman"/>
                <w:i/>
                <w:iCs/>
                <w:lang w:eastAsia="fr-FR"/>
              </w:rPr>
              <w:t xml:space="preserve">                                              </w:t>
            </w:r>
            <w:r w:rsidR="006A2776">
              <w:rPr>
                <w:rFonts w:eastAsia="Times New Roman" w:cs="Times New Roman"/>
                <w:i/>
                <w:iCs/>
                <w:lang w:eastAsia="fr-FR"/>
              </w:rPr>
              <w:t xml:space="preserve">                   </w:t>
            </w:r>
            <w:r w:rsidR="00C66D4A">
              <w:rPr>
                <w:rFonts w:eastAsia="Times New Roman" w:cs="Times New Roman"/>
                <w:i/>
                <w:iCs/>
                <w:lang w:eastAsia="fr-FR"/>
              </w:rPr>
              <w:t xml:space="preserve">         </w:t>
            </w:r>
            <w:r w:rsidR="009252FD" w:rsidRPr="006867C4">
              <w:rPr>
                <w:rFonts w:eastAsia="Times New Roman" w:cs="Times New Roman"/>
                <w:i/>
                <w:iCs/>
                <w:lang w:eastAsia="fr-FR"/>
              </w:rPr>
              <w:t>Unités conventionnelles et formules</w:t>
            </w:r>
            <w:r w:rsidR="009252FD">
              <w:rPr>
                <w:rFonts w:eastAsia="Times New Roman" w:cs="Times New Roman"/>
                <w:i/>
                <w:iCs/>
                <w:lang w:eastAsia="fr-FR"/>
              </w:rPr>
              <w:t xml:space="preserve">                                                                           </w:t>
            </w:r>
          </w:p>
          <w:p w:rsidR="002449B0" w:rsidRPr="006867C4" w:rsidRDefault="006867C4" w:rsidP="002449B0">
            <w:pPr>
              <w:spacing w:after="0" w:line="240" w:lineRule="auto"/>
              <w:rPr>
                <w:rFonts w:eastAsia="Times New Roman" w:cs="Times New Roman"/>
                <w:i/>
                <w:iCs/>
                <w:lang w:eastAsia="fr-FR"/>
              </w:rPr>
            </w:pPr>
            <w:r w:rsidRPr="006867C4">
              <w:rPr>
                <w:rFonts w:eastAsia="Times New Roman" w:cs="Times New Roman"/>
                <w:i/>
                <w:iCs/>
                <w:lang w:eastAsia="fr-FR"/>
              </w:rPr>
              <w:t>Traitements de l’air</w:t>
            </w:r>
            <w:r w:rsidR="002449B0">
              <w:rPr>
                <w:rFonts w:eastAsia="Times New Roman" w:cs="Times New Roman"/>
                <w:i/>
                <w:iCs/>
                <w:lang w:eastAsia="fr-FR"/>
              </w:rPr>
              <w:t xml:space="preserve">                                                                          </w:t>
            </w:r>
            <w:r w:rsidR="006A2776">
              <w:rPr>
                <w:rFonts w:eastAsia="Times New Roman" w:cs="Times New Roman"/>
                <w:i/>
                <w:iCs/>
                <w:lang w:eastAsia="fr-FR"/>
              </w:rPr>
              <w:t xml:space="preserve">                </w:t>
            </w:r>
            <w:r w:rsidR="00C66D4A">
              <w:rPr>
                <w:rFonts w:eastAsia="Times New Roman" w:cs="Times New Roman"/>
                <w:i/>
                <w:iCs/>
                <w:lang w:eastAsia="fr-FR"/>
              </w:rPr>
              <w:t xml:space="preserve">         </w:t>
            </w:r>
            <w:r w:rsidR="006A2776">
              <w:rPr>
                <w:rFonts w:eastAsia="Times New Roman" w:cs="Times New Roman"/>
                <w:i/>
                <w:iCs/>
                <w:lang w:eastAsia="fr-FR"/>
              </w:rPr>
              <w:t xml:space="preserve"> </w:t>
            </w:r>
            <w:r w:rsidR="002449B0" w:rsidRPr="006867C4">
              <w:rPr>
                <w:rFonts w:eastAsia="Times New Roman" w:cs="Times New Roman"/>
                <w:i/>
                <w:iCs/>
                <w:lang w:eastAsia="fr-FR"/>
              </w:rPr>
              <w:t>Reconnaître le terrain</w:t>
            </w:r>
          </w:p>
          <w:p w:rsidR="006867C4" w:rsidRPr="006867C4" w:rsidRDefault="006867C4" w:rsidP="00AD7C4B">
            <w:pPr>
              <w:spacing w:after="0" w:line="240" w:lineRule="auto"/>
              <w:rPr>
                <w:rFonts w:eastAsia="Times New Roman" w:cs="Times New Roman"/>
                <w:i/>
                <w:iCs/>
                <w:lang w:eastAsia="fr-FR"/>
              </w:rPr>
            </w:pPr>
            <w:r w:rsidRPr="006867C4">
              <w:rPr>
                <w:rFonts w:eastAsia="Times New Roman" w:cs="Times New Roman"/>
                <w:i/>
                <w:iCs/>
                <w:lang w:eastAsia="fr-FR"/>
              </w:rPr>
              <w:t>Gestion des odeurs et des nuisances olfactives</w:t>
            </w:r>
            <w:r w:rsidR="00AD7C4B">
              <w:rPr>
                <w:rFonts w:eastAsia="Times New Roman" w:cs="Times New Roman"/>
                <w:i/>
                <w:iCs/>
                <w:lang w:eastAsia="fr-FR"/>
              </w:rPr>
              <w:t xml:space="preserve">                         </w:t>
            </w:r>
            <w:r w:rsidR="006A2776">
              <w:rPr>
                <w:rFonts w:eastAsia="Times New Roman" w:cs="Times New Roman"/>
                <w:i/>
                <w:iCs/>
                <w:lang w:eastAsia="fr-FR"/>
              </w:rPr>
              <w:t xml:space="preserve">                  </w:t>
            </w:r>
            <w:r w:rsidR="00C66D4A">
              <w:rPr>
                <w:rFonts w:eastAsia="Times New Roman" w:cs="Times New Roman"/>
                <w:i/>
                <w:iCs/>
                <w:lang w:eastAsia="fr-FR"/>
              </w:rPr>
              <w:t xml:space="preserve">          </w:t>
            </w:r>
            <w:r w:rsidR="00AD7C4B" w:rsidRPr="006867C4">
              <w:rPr>
                <w:rFonts w:eastAsia="Times New Roman" w:cs="Times New Roman"/>
                <w:i/>
                <w:iCs/>
                <w:lang w:eastAsia="fr-FR"/>
              </w:rPr>
              <w:t>Organiser son chantier</w:t>
            </w:r>
          </w:p>
          <w:p w:rsidR="006867C4" w:rsidRPr="006867C4" w:rsidRDefault="006867C4" w:rsidP="00AD7C4B">
            <w:pPr>
              <w:spacing w:after="0" w:line="240" w:lineRule="auto"/>
              <w:rPr>
                <w:rFonts w:eastAsia="Times New Roman" w:cs="Times New Roman"/>
                <w:i/>
                <w:iCs/>
                <w:lang w:eastAsia="fr-FR"/>
              </w:rPr>
            </w:pPr>
            <w:r w:rsidRPr="006867C4">
              <w:rPr>
                <w:rFonts w:eastAsia="Times New Roman" w:cs="Times New Roman"/>
                <w:i/>
                <w:iCs/>
                <w:lang w:eastAsia="fr-FR"/>
              </w:rPr>
              <w:t>Gestion des déchets</w:t>
            </w:r>
            <w:r w:rsidR="00AD7C4B">
              <w:rPr>
                <w:rFonts w:eastAsia="Times New Roman" w:cs="Times New Roman"/>
                <w:i/>
                <w:iCs/>
                <w:lang w:eastAsia="fr-FR"/>
              </w:rPr>
              <w:t xml:space="preserve">                                                                  </w:t>
            </w:r>
            <w:r w:rsidR="006A2776">
              <w:rPr>
                <w:rFonts w:eastAsia="Times New Roman" w:cs="Times New Roman"/>
                <w:i/>
                <w:iCs/>
                <w:lang w:eastAsia="fr-FR"/>
              </w:rPr>
              <w:t xml:space="preserve">                      </w:t>
            </w:r>
            <w:r w:rsidR="00C66D4A">
              <w:rPr>
                <w:rFonts w:eastAsia="Times New Roman" w:cs="Times New Roman"/>
                <w:i/>
                <w:iCs/>
                <w:lang w:eastAsia="fr-FR"/>
              </w:rPr>
              <w:t xml:space="preserve">        </w:t>
            </w:r>
            <w:r w:rsidR="00AD7C4B">
              <w:rPr>
                <w:rFonts w:eastAsia="Times New Roman" w:cs="Times New Roman"/>
                <w:i/>
                <w:iCs/>
                <w:lang w:eastAsia="fr-FR"/>
              </w:rPr>
              <w:t xml:space="preserve"> </w:t>
            </w:r>
            <w:r w:rsidR="00AD7C4B" w:rsidRPr="006867C4">
              <w:rPr>
                <w:rFonts w:eastAsia="Times New Roman" w:cs="Times New Roman"/>
                <w:i/>
                <w:iCs/>
                <w:lang w:eastAsia="fr-FR"/>
              </w:rPr>
              <w:t>Les échafaudages et les moyens de levage</w:t>
            </w:r>
          </w:p>
          <w:p w:rsidR="006867C4" w:rsidRPr="006867C4" w:rsidRDefault="006867C4" w:rsidP="001314B2">
            <w:pPr>
              <w:spacing w:after="0" w:line="240" w:lineRule="auto"/>
              <w:rPr>
                <w:rFonts w:eastAsia="Times New Roman" w:cs="Times New Roman"/>
                <w:i/>
                <w:iCs/>
                <w:lang w:eastAsia="fr-FR"/>
              </w:rPr>
            </w:pPr>
            <w:r w:rsidRPr="006867C4">
              <w:rPr>
                <w:rFonts w:eastAsia="Times New Roman" w:cs="Times New Roman"/>
                <w:i/>
                <w:iCs/>
                <w:lang w:eastAsia="fr-FR"/>
              </w:rPr>
              <w:t xml:space="preserve">Gestion des sites et sols pollués </w:t>
            </w:r>
            <w:r w:rsidR="001314B2">
              <w:rPr>
                <w:rFonts w:eastAsia="Times New Roman" w:cs="Times New Roman"/>
                <w:i/>
                <w:iCs/>
                <w:lang w:eastAsia="fr-FR"/>
              </w:rPr>
              <w:t xml:space="preserve">                                             </w:t>
            </w:r>
            <w:r w:rsidR="006A2776">
              <w:rPr>
                <w:rFonts w:eastAsia="Times New Roman" w:cs="Times New Roman"/>
                <w:i/>
                <w:iCs/>
                <w:lang w:eastAsia="fr-FR"/>
              </w:rPr>
              <w:t xml:space="preserve">                        </w:t>
            </w:r>
            <w:r w:rsidR="001314B2" w:rsidRPr="006867C4">
              <w:rPr>
                <w:rFonts w:eastAsia="Times New Roman" w:cs="Times New Roman"/>
                <w:i/>
                <w:iCs/>
                <w:lang w:eastAsia="fr-FR"/>
              </w:rPr>
              <w:t>La réglementation administrative et des contrats</w:t>
            </w:r>
          </w:p>
          <w:p w:rsidR="001314B2" w:rsidRPr="006867C4" w:rsidRDefault="006867C4" w:rsidP="001314B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u w:val="single"/>
                <w:lang w:eastAsia="fr-FR"/>
              </w:rPr>
            </w:pPr>
            <w:r w:rsidRPr="006867C4">
              <w:rPr>
                <w:rFonts w:eastAsia="Times New Roman" w:cs="Times New Roman"/>
                <w:b/>
                <w:bCs/>
                <w:color w:val="000000"/>
                <w:u w:val="single"/>
                <w:lang w:eastAsia="fr-FR"/>
              </w:rPr>
              <w:t>CONSTRUCTION ET TRAVAUX PUBLICS</w:t>
            </w:r>
            <w:r w:rsidR="001314B2" w:rsidRPr="001314B2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                                           </w:t>
            </w:r>
            <w:r w:rsidR="006A277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           </w:t>
            </w:r>
            <w:r w:rsidR="001314B2" w:rsidRPr="001314B2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1314B2" w:rsidRPr="006867C4">
              <w:rPr>
                <w:rFonts w:eastAsia="Times New Roman" w:cs="Times New Roman"/>
                <w:i/>
                <w:iCs/>
                <w:lang w:eastAsia="fr-FR"/>
              </w:rPr>
              <w:t>Sécurité incendie des ERP, IGH et habitations</w:t>
            </w:r>
            <w:r w:rsidR="001314B2" w:rsidRPr="006867C4">
              <w:rPr>
                <w:rFonts w:eastAsia="Times New Roman" w:cs="Times New Roman"/>
                <w:b/>
                <w:bCs/>
                <w:color w:val="000000"/>
                <w:u w:val="single"/>
                <w:lang w:eastAsia="fr-FR"/>
              </w:rPr>
              <w:t xml:space="preserve"> </w:t>
            </w:r>
          </w:p>
          <w:p w:rsidR="006867C4" w:rsidRPr="006867C4" w:rsidRDefault="006867C4" w:rsidP="006867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u w:val="single"/>
                <w:lang w:eastAsia="fr-FR"/>
              </w:rPr>
            </w:pPr>
          </w:p>
          <w:p w:rsidR="006867C4" w:rsidRPr="00B04568" w:rsidRDefault="006867C4" w:rsidP="00B04568">
            <w:pPr>
              <w:spacing w:after="0" w:line="240" w:lineRule="auto"/>
              <w:rPr>
                <w:rFonts w:eastAsia="Times New Roman" w:cs="Times New Roman"/>
                <w:i/>
                <w:iCs/>
                <w:lang w:eastAsia="fr-FR"/>
              </w:rPr>
            </w:pPr>
            <w:r w:rsidRPr="006867C4">
              <w:rPr>
                <w:rFonts w:eastAsia="Times New Roman" w:cs="Times New Roman"/>
                <w:b/>
                <w:bCs/>
                <w:color w:val="000000"/>
                <w:u w:val="single"/>
                <w:lang w:eastAsia="fr-FR"/>
              </w:rPr>
              <w:t>Droit et organisation générale de la construction</w:t>
            </w:r>
            <w:r w:rsidR="00B04568" w:rsidRPr="00B04568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                                 </w:t>
            </w:r>
            <w:r w:rsidR="006A277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66D4A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    </w:t>
            </w:r>
            <w:r w:rsidR="006A277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B04568" w:rsidRPr="00B04568">
              <w:rPr>
                <w:rFonts w:eastAsia="Times New Roman" w:cs="Times New Roman"/>
                <w:b/>
                <w:bCs/>
                <w:color w:val="000000"/>
                <w:u w:val="single"/>
                <w:lang w:eastAsia="fr-FR"/>
              </w:rPr>
              <w:t>Package Télécoms</w:t>
            </w:r>
          </w:p>
          <w:p w:rsidR="006867C4" w:rsidRPr="00B04568" w:rsidRDefault="006867C4" w:rsidP="00B0456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u w:val="single"/>
                <w:lang w:eastAsia="fr-FR"/>
              </w:rPr>
            </w:pPr>
            <w:r w:rsidRPr="006867C4">
              <w:rPr>
                <w:rFonts w:eastAsia="Times New Roman" w:cs="Times New Roman"/>
                <w:lang w:eastAsia="fr-FR"/>
              </w:rPr>
              <w:t>Organisation et sécurité des chantiers</w:t>
            </w:r>
            <w:r w:rsidR="00B04568">
              <w:rPr>
                <w:rFonts w:eastAsia="Times New Roman" w:cs="Times New Roman"/>
                <w:lang w:eastAsia="fr-FR"/>
              </w:rPr>
              <w:t xml:space="preserve">                                                      </w:t>
            </w:r>
            <w:r w:rsidR="006A2776">
              <w:rPr>
                <w:rFonts w:eastAsia="Times New Roman" w:cs="Times New Roman"/>
                <w:lang w:eastAsia="fr-FR"/>
              </w:rPr>
              <w:t xml:space="preserve"> </w:t>
            </w:r>
            <w:r w:rsidR="00C66D4A">
              <w:rPr>
                <w:rFonts w:eastAsia="Times New Roman" w:cs="Times New Roman"/>
                <w:lang w:eastAsia="fr-FR"/>
              </w:rPr>
              <w:t xml:space="preserve">    </w:t>
            </w:r>
            <w:r w:rsidR="00B04568">
              <w:rPr>
                <w:rFonts w:eastAsia="Times New Roman" w:cs="Times New Roman"/>
                <w:lang w:eastAsia="fr-FR"/>
              </w:rPr>
              <w:t xml:space="preserve"> </w:t>
            </w:r>
            <w:r w:rsidR="00B04568" w:rsidRPr="006867C4">
              <w:rPr>
                <w:rFonts w:eastAsia="Times New Roman" w:cs="Times New Roman"/>
                <w:b/>
                <w:bCs/>
                <w:i/>
                <w:iCs/>
                <w:u w:val="single"/>
                <w:lang w:eastAsia="fr-FR"/>
              </w:rPr>
              <w:t>Réseaux et télécommunications</w:t>
            </w:r>
          </w:p>
          <w:p w:rsidR="006867C4" w:rsidRPr="00793BCC" w:rsidRDefault="006867C4" w:rsidP="00793BCC">
            <w:pPr>
              <w:spacing w:after="0" w:line="240" w:lineRule="auto"/>
              <w:rPr>
                <w:rFonts w:eastAsia="Times New Roman" w:cs="Times New Roman"/>
                <w:i/>
                <w:iCs/>
                <w:lang w:eastAsia="fr-FR"/>
              </w:rPr>
            </w:pPr>
            <w:r w:rsidRPr="006867C4">
              <w:rPr>
                <w:rFonts w:eastAsia="Times New Roman" w:cs="Times New Roman"/>
                <w:lang w:eastAsia="fr-FR"/>
              </w:rPr>
              <w:t>L'environnement sociétal du bâtiment</w:t>
            </w:r>
            <w:r w:rsidR="00793BCC">
              <w:rPr>
                <w:rFonts w:eastAsia="Times New Roman" w:cs="Times New Roman"/>
                <w:lang w:eastAsia="fr-FR"/>
              </w:rPr>
              <w:t xml:space="preserve">                                                      </w:t>
            </w:r>
            <w:r w:rsidR="006A2776">
              <w:rPr>
                <w:rFonts w:eastAsia="Times New Roman" w:cs="Times New Roman"/>
                <w:lang w:eastAsia="fr-FR"/>
              </w:rPr>
              <w:t xml:space="preserve">   </w:t>
            </w:r>
            <w:r w:rsidR="00C66D4A">
              <w:rPr>
                <w:rFonts w:eastAsia="Times New Roman" w:cs="Times New Roman"/>
                <w:lang w:eastAsia="fr-FR"/>
              </w:rPr>
              <w:t xml:space="preserve">          </w:t>
            </w:r>
            <w:r w:rsidR="00793BCC">
              <w:rPr>
                <w:rFonts w:eastAsia="Times New Roman" w:cs="Times New Roman"/>
                <w:lang w:eastAsia="fr-FR"/>
              </w:rPr>
              <w:t xml:space="preserve"> </w:t>
            </w:r>
            <w:r w:rsidR="00793BCC" w:rsidRPr="006867C4">
              <w:rPr>
                <w:rFonts w:eastAsia="Times New Roman" w:cs="Times New Roman"/>
                <w:i/>
                <w:iCs/>
                <w:lang w:eastAsia="fr-FR"/>
              </w:rPr>
              <w:t>Internet des objets</w:t>
            </w:r>
          </w:p>
          <w:p w:rsidR="006867C4" w:rsidRPr="00DE7095" w:rsidRDefault="006867C4" w:rsidP="00DE7095">
            <w:pPr>
              <w:spacing w:after="0" w:line="240" w:lineRule="auto"/>
              <w:rPr>
                <w:rFonts w:eastAsia="Times New Roman" w:cs="Times New Roman"/>
                <w:i/>
                <w:iCs/>
                <w:lang w:eastAsia="fr-FR"/>
              </w:rPr>
            </w:pPr>
            <w:r w:rsidRPr="006867C4">
              <w:rPr>
                <w:rFonts w:eastAsia="Times New Roman" w:cs="Times New Roman"/>
                <w:lang w:eastAsia="fr-FR"/>
              </w:rPr>
              <w:t>Droit et marché de la construction</w:t>
            </w:r>
            <w:r w:rsidR="00DE7095">
              <w:rPr>
                <w:rFonts w:eastAsia="Times New Roman" w:cs="Times New Roman"/>
                <w:lang w:eastAsia="fr-FR"/>
              </w:rPr>
              <w:t xml:space="preserve">                                                             </w:t>
            </w:r>
            <w:r w:rsidR="00C66D4A">
              <w:rPr>
                <w:rFonts w:eastAsia="Times New Roman" w:cs="Times New Roman"/>
                <w:lang w:eastAsia="fr-FR"/>
              </w:rPr>
              <w:t xml:space="preserve">   </w:t>
            </w:r>
            <w:r w:rsidR="00DE7095">
              <w:rPr>
                <w:rFonts w:eastAsia="Times New Roman" w:cs="Times New Roman"/>
                <w:lang w:eastAsia="fr-FR"/>
              </w:rPr>
              <w:t xml:space="preserve"> </w:t>
            </w:r>
            <w:r w:rsidR="00C66D4A">
              <w:rPr>
                <w:rFonts w:eastAsia="Times New Roman" w:cs="Times New Roman"/>
                <w:lang w:eastAsia="fr-FR"/>
              </w:rPr>
              <w:t xml:space="preserve">          </w:t>
            </w:r>
            <w:r w:rsidR="00DE7095" w:rsidRPr="006867C4">
              <w:rPr>
                <w:rFonts w:eastAsia="Times New Roman" w:cs="Times New Roman"/>
                <w:i/>
                <w:iCs/>
                <w:lang w:eastAsia="fr-FR"/>
              </w:rPr>
              <w:t>Réseaux cellulaires et téléphonie</w:t>
            </w:r>
          </w:p>
          <w:p w:rsidR="006867C4" w:rsidRPr="006867C4" w:rsidRDefault="006867C4" w:rsidP="009C09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u w:val="single"/>
                <w:lang w:eastAsia="fr-FR"/>
              </w:rPr>
            </w:pPr>
            <w:r w:rsidRPr="006867C4">
              <w:rPr>
                <w:rFonts w:eastAsia="Times New Roman" w:cs="Times New Roman"/>
                <w:b/>
                <w:bCs/>
                <w:color w:val="000000"/>
                <w:u w:val="single"/>
                <w:lang w:eastAsia="fr-FR"/>
              </w:rPr>
              <w:t>Travaux publics et infrastructures</w:t>
            </w:r>
            <w:r w:rsidR="009C09F2">
              <w:rPr>
                <w:rFonts w:eastAsia="Times New Roman" w:cs="Times New Roman"/>
                <w:b/>
                <w:bCs/>
                <w:color w:val="000000"/>
                <w:u w:val="single"/>
                <w:lang w:eastAsia="fr-FR"/>
              </w:rPr>
              <w:t xml:space="preserve"> </w:t>
            </w:r>
            <w:r w:rsidR="009C09F2" w:rsidRPr="009C09F2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                          </w:t>
            </w:r>
            <w:r w:rsidR="009C09F2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                                </w:t>
            </w:r>
            <w:r w:rsidR="00C66D4A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    </w:t>
            </w:r>
            <w:r w:rsidR="009C09F2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C66D4A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          </w:t>
            </w:r>
            <w:r w:rsidR="009C09F2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 </w:t>
            </w:r>
            <w:r w:rsidR="009C09F2" w:rsidRPr="006867C4">
              <w:rPr>
                <w:rFonts w:eastAsia="Times New Roman" w:cs="Times New Roman"/>
                <w:i/>
                <w:iCs/>
                <w:lang w:eastAsia="fr-FR"/>
              </w:rPr>
              <w:t xml:space="preserve">Réseau Internet : protocoles, multicast, </w:t>
            </w:r>
          </w:p>
          <w:p w:rsidR="006867C4" w:rsidRPr="006867C4" w:rsidRDefault="006867C4" w:rsidP="006F6AF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6867C4">
              <w:rPr>
                <w:rFonts w:eastAsia="Times New Roman" w:cs="Times New Roman"/>
                <w:lang w:eastAsia="fr-FR"/>
              </w:rPr>
              <w:t>Gestion de l'eau</w:t>
            </w:r>
            <w:r w:rsidR="009C09F2">
              <w:rPr>
                <w:rFonts w:eastAsia="Times New Roman" w:cs="Times New Roman"/>
                <w:lang w:eastAsia="fr-FR"/>
              </w:rPr>
              <w:t xml:space="preserve">                                                                                             </w:t>
            </w:r>
            <w:r w:rsidR="00C66D4A">
              <w:rPr>
                <w:rFonts w:eastAsia="Times New Roman" w:cs="Times New Roman"/>
                <w:lang w:eastAsia="fr-FR"/>
              </w:rPr>
              <w:t xml:space="preserve">                 </w:t>
            </w:r>
            <w:r w:rsidR="009C09F2" w:rsidRPr="006867C4">
              <w:rPr>
                <w:rFonts w:eastAsia="Times New Roman" w:cs="Times New Roman"/>
                <w:i/>
                <w:iCs/>
                <w:lang w:eastAsia="fr-FR"/>
              </w:rPr>
              <w:t>routage, MPLS, mobilité</w:t>
            </w:r>
          </w:p>
          <w:p w:rsidR="006867C4" w:rsidRPr="00C66D4A" w:rsidRDefault="006867C4" w:rsidP="006F6AF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6867C4">
              <w:rPr>
                <w:rFonts w:eastAsia="Times New Roman" w:cs="Times New Roman"/>
                <w:lang w:eastAsia="fr-FR"/>
              </w:rPr>
              <w:t>Les routes, les ponts et les parcs de stationnement</w:t>
            </w:r>
            <w:r w:rsidR="009C09F2">
              <w:rPr>
                <w:rFonts w:eastAsia="Times New Roman" w:cs="Times New Roman"/>
                <w:lang w:eastAsia="fr-FR"/>
              </w:rPr>
              <w:t xml:space="preserve">                                 </w:t>
            </w:r>
            <w:r w:rsidR="00C66D4A">
              <w:rPr>
                <w:rFonts w:eastAsia="Times New Roman" w:cs="Times New Roman"/>
                <w:lang w:eastAsia="fr-FR"/>
              </w:rPr>
              <w:t xml:space="preserve">           </w:t>
            </w:r>
            <w:r w:rsidR="009C09F2" w:rsidRPr="00C66D4A">
              <w:rPr>
                <w:rFonts w:eastAsia="Times New Roman" w:cs="Times New Roman"/>
                <w:lang w:eastAsia="fr-FR"/>
              </w:rPr>
              <w:t>Réseaux locaux</w:t>
            </w:r>
          </w:p>
          <w:p w:rsidR="006867C4" w:rsidRPr="009C09F2" w:rsidRDefault="006867C4" w:rsidP="00C66D4A">
            <w:pPr>
              <w:spacing w:after="0" w:line="240" w:lineRule="auto"/>
              <w:rPr>
                <w:rFonts w:eastAsia="Times New Roman" w:cs="Times New Roman"/>
                <w:i/>
                <w:iCs/>
                <w:sz w:val="16"/>
                <w:szCs w:val="16"/>
                <w:lang w:eastAsia="fr-FR"/>
              </w:rPr>
            </w:pPr>
            <w:r w:rsidRPr="006867C4">
              <w:rPr>
                <w:rFonts w:eastAsia="Times New Roman" w:cs="Times New Roman"/>
                <w:lang w:eastAsia="fr-FR"/>
              </w:rPr>
              <w:t>Les travaux souterrains et les dépollutions</w:t>
            </w:r>
            <w:r w:rsidR="009C09F2">
              <w:rPr>
                <w:rFonts w:eastAsia="Times New Roman" w:cs="Times New Roman"/>
                <w:lang w:eastAsia="fr-FR"/>
              </w:rPr>
              <w:t xml:space="preserve">                                          </w:t>
            </w:r>
            <w:r w:rsidR="00C66D4A">
              <w:rPr>
                <w:rFonts w:eastAsia="Times New Roman" w:cs="Times New Roman"/>
                <w:lang w:eastAsia="fr-FR"/>
              </w:rPr>
              <w:t xml:space="preserve">   </w:t>
            </w:r>
            <w:r w:rsidR="009C09F2" w:rsidRPr="00C66D4A">
              <w:rPr>
                <w:rFonts w:eastAsia="Times New Roman" w:cs="Times New Roman"/>
                <w:i/>
                <w:iCs/>
                <w:sz w:val="18"/>
                <w:szCs w:val="18"/>
                <w:lang w:eastAsia="fr-FR"/>
              </w:rPr>
              <w:t>Techniques et systèmes de transmission en réseaux et télécoms</w:t>
            </w:r>
          </w:p>
          <w:p w:rsidR="006867C4" w:rsidRPr="006A2776" w:rsidRDefault="006867C4" w:rsidP="006A2776">
            <w:pPr>
              <w:spacing w:after="0" w:line="240" w:lineRule="auto"/>
              <w:rPr>
                <w:rFonts w:eastAsia="Times New Roman" w:cs="Times New Roman"/>
                <w:i/>
                <w:iCs/>
                <w:sz w:val="16"/>
                <w:szCs w:val="16"/>
                <w:lang w:eastAsia="fr-FR"/>
              </w:rPr>
            </w:pPr>
            <w:r w:rsidRPr="006867C4">
              <w:rPr>
                <w:rFonts w:eastAsia="Times New Roman" w:cs="Times New Roman"/>
                <w:lang w:eastAsia="fr-FR"/>
              </w:rPr>
              <w:t xml:space="preserve">Terrassement et </w:t>
            </w:r>
            <w:proofErr w:type="spellStart"/>
            <w:r w:rsidRPr="006867C4">
              <w:rPr>
                <w:rFonts w:eastAsia="Times New Roman" w:cs="Times New Roman"/>
                <w:lang w:eastAsia="fr-FR"/>
              </w:rPr>
              <w:t>géomembranes</w:t>
            </w:r>
            <w:proofErr w:type="spellEnd"/>
            <w:r w:rsidR="006A2776">
              <w:rPr>
                <w:rFonts w:eastAsia="Times New Roman" w:cs="Times New Roman"/>
                <w:lang w:eastAsia="fr-FR"/>
              </w:rPr>
              <w:t xml:space="preserve">                                                            </w:t>
            </w:r>
            <w:r w:rsidR="00C66D4A">
              <w:rPr>
                <w:rFonts w:eastAsia="Times New Roman" w:cs="Times New Roman"/>
                <w:lang w:eastAsia="fr-FR"/>
              </w:rPr>
              <w:t xml:space="preserve">   </w:t>
            </w:r>
            <w:r w:rsidR="006A2776" w:rsidRPr="00C66D4A">
              <w:rPr>
                <w:rFonts w:eastAsia="Times New Roman" w:cs="Times New Roman"/>
                <w:i/>
                <w:iCs/>
                <w:sz w:val="18"/>
                <w:szCs w:val="18"/>
                <w:lang w:eastAsia="fr-FR"/>
              </w:rPr>
              <w:t>Réseaux et télécoms : innovations et tendances technologiques</w:t>
            </w:r>
          </w:p>
          <w:p w:rsidR="006A2776" w:rsidRPr="0019646E" w:rsidRDefault="006867C4" w:rsidP="006A2776">
            <w:pPr>
              <w:spacing w:after="0" w:line="240" w:lineRule="auto"/>
              <w:rPr>
                <w:rFonts w:eastAsia="Times New Roman" w:cs="Times New Roman"/>
                <w:i/>
                <w:iCs/>
                <w:sz w:val="16"/>
                <w:szCs w:val="16"/>
                <w:lang w:eastAsia="fr-FR"/>
              </w:rPr>
            </w:pPr>
            <w:r w:rsidRPr="006867C4">
              <w:rPr>
                <w:rFonts w:eastAsia="Times New Roman" w:cs="Times New Roman"/>
                <w:b/>
                <w:bCs/>
                <w:color w:val="000000"/>
                <w:u w:val="single"/>
                <w:lang w:eastAsia="fr-FR"/>
              </w:rPr>
              <w:t>Vieillissement, pathologies et réhabilitation du bâtimen</w:t>
            </w:r>
            <w:r w:rsidRPr="006A277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t</w:t>
            </w:r>
            <w:r w:rsidR="006A2776" w:rsidRPr="006A2776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             </w:t>
            </w:r>
            <w:r w:rsidR="00C66D4A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 xml:space="preserve">             </w:t>
            </w:r>
            <w:r w:rsidR="006A2776" w:rsidRPr="0019646E">
              <w:rPr>
                <w:rFonts w:eastAsia="Times New Roman" w:cs="Times New Roman"/>
                <w:i/>
                <w:iCs/>
                <w:sz w:val="16"/>
                <w:szCs w:val="16"/>
                <w:lang w:eastAsia="fr-FR"/>
              </w:rPr>
              <w:t>Administration de réseaux, applications et mise en œuvre</w:t>
            </w:r>
          </w:p>
          <w:p w:rsidR="006867C4" w:rsidRPr="006867C4" w:rsidRDefault="006867C4" w:rsidP="006F6AF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6867C4">
              <w:rPr>
                <w:rFonts w:eastAsia="Times New Roman" w:cs="Times New Roman"/>
                <w:i/>
                <w:iCs/>
                <w:lang w:eastAsia="fr-FR"/>
              </w:rPr>
              <w:t>Réhabilitation et remise aux normes des bâtiments </w:t>
            </w:r>
          </w:p>
          <w:p w:rsidR="006867C4" w:rsidRDefault="006867C4" w:rsidP="006867C4">
            <w:pPr>
              <w:spacing w:after="0" w:line="240" w:lineRule="auto"/>
              <w:rPr>
                <w:rFonts w:eastAsia="Times New Roman" w:cs="Times New Roman"/>
                <w:i/>
                <w:iCs/>
                <w:lang w:eastAsia="fr-FR"/>
              </w:rPr>
            </w:pPr>
            <w:r w:rsidRPr="006867C4">
              <w:rPr>
                <w:rFonts w:eastAsia="Times New Roman" w:cs="Times New Roman"/>
                <w:i/>
                <w:iCs/>
                <w:lang w:eastAsia="fr-FR"/>
              </w:rPr>
              <w:t>Pathologie générale - Pathologie du béton</w:t>
            </w:r>
          </w:p>
          <w:p w:rsidR="006867C4" w:rsidRPr="006867C4" w:rsidRDefault="006867C4" w:rsidP="006867C4">
            <w:pPr>
              <w:spacing w:after="0" w:line="240" w:lineRule="auto"/>
              <w:rPr>
                <w:rFonts w:eastAsia="Times New Roman" w:cs="Times New Roman"/>
                <w:i/>
                <w:iCs/>
                <w:lang w:eastAsia="fr-FR"/>
              </w:rPr>
            </w:pPr>
            <w:r w:rsidRPr="006867C4">
              <w:rPr>
                <w:rFonts w:eastAsia="Times New Roman" w:cs="Times New Roman"/>
                <w:i/>
                <w:iCs/>
                <w:lang w:eastAsia="fr-FR"/>
              </w:rPr>
              <w:t xml:space="preserve">Pathologie de l'humidité des parois - Pathologie des ponts </w:t>
            </w:r>
          </w:p>
          <w:p w:rsidR="006867C4" w:rsidRPr="006867C4" w:rsidRDefault="006867C4" w:rsidP="006F6AF2">
            <w:pPr>
              <w:spacing w:after="0" w:line="240" w:lineRule="auto"/>
              <w:rPr>
                <w:rFonts w:eastAsia="Times New Roman" w:cs="Times New Roman"/>
                <w:b/>
                <w:bCs/>
                <w:u w:val="single"/>
                <w:lang w:eastAsia="fr-FR"/>
              </w:rPr>
            </w:pPr>
          </w:p>
          <w:p w:rsidR="006867C4" w:rsidRPr="006867C4" w:rsidRDefault="006867C4" w:rsidP="006F6AF2">
            <w:pPr>
              <w:spacing w:after="0" w:line="240" w:lineRule="auto"/>
              <w:rPr>
                <w:rFonts w:eastAsia="Times New Roman" w:cs="Times New Roman"/>
                <w:i/>
                <w:iCs/>
                <w:lang w:eastAsia="fr-FR"/>
              </w:rPr>
            </w:pPr>
          </w:p>
          <w:p w:rsidR="006867C4" w:rsidRPr="006867C4" w:rsidRDefault="006867C4" w:rsidP="006F6AF2">
            <w:pPr>
              <w:spacing w:after="0" w:line="240" w:lineRule="auto"/>
              <w:rPr>
                <w:rFonts w:eastAsia="Times New Roman" w:cs="Times New Roman"/>
                <w:i/>
                <w:iCs/>
                <w:lang w:eastAsia="fr-FR"/>
              </w:rPr>
            </w:pPr>
          </w:p>
          <w:p w:rsidR="006867C4" w:rsidRPr="006867C4" w:rsidRDefault="006867C4" w:rsidP="006F6A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u w:val="single"/>
                <w:lang w:eastAsia="fr-FR"/>
              </w:rPr>
            </w:pPr>
          </w:p>
          <w:p w:rsidR="006867C4" w:rsidRPr="006867C4" w:rsidRDefault="006867C4" w:rsidP="006F6AF2">
            <w:pPr>
              <w:spacing w:after="0" w:line="240" w:lineRule="auto"/>
              <w:rPr>
                <w:rFonts w:eastAsia="Times New Roman" w:cs="Times New Roman"/>
                <w:i/>
                <w:iCs/>
                <w:lang w:eastAsia="fr-FR"/>
              </w:rPr>
            </w:pPr>
          </w:p>
        </w:tc>
      </w:tr>
      <w:tr w:rsidR="006867C4" w:rsidRPr="0019646E" w:rsidTr="006A2776">
        <w:trPr>
          <w:trHeight w:val="1230"/>
        </w:trPr>
        <w:tc>
          <w:tcPr>
            <w:tcW w:w="10773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tbl>
            <w:tblPr>
              <w:tblW w:w="4535" w:type="dxa"/>
              <w:tblInd w:w="134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535"/>
            </w:tblGrid>
            <w:tr w:rsidR="006867C4" w:rsidRPr="0019646E" w:rsidTr="006F6AF2">
              <w:trPr>
                <w:trHeight w:val="67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67C4" w:rsidRPr="0019646E" w:rsidRDefault="006867C4" w:rsidP="009C09F2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fr-FR"/>
                    </w:rPr>
                  </w:pPr>
                  <w:r w:rsidRPr="0019646E">
                    <w:rPr>
                      <w:rFonts w:eastAsia="Times New Roman" w:cs="Times New Roman"/>
                      <w:sz w:val="16"/>
                      <w:szCs w:val="16"/>
                      <w:lang w:eastAsia="fr-FR"/>
                    </w:rPr>
                    <w:lastRenderedPageBreak/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6867C4" w:rsidRPr="0019646E" w:rsidRDefault="006867C4" w:rsidP="006A2776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6867C4" w:rsidRPr="0019646E" w:rsidTr="006F6AF2">
              <w:trPr>
                <w:trHeight w:val="67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:rsidR="006867C4" w:rsidRPr="0019646E" w:rsidRDefault="006867C4" w:rsidP="006F6AF2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16"/>
                      <w:szCs w:val="16"/>
                      <w:lang w:eastAsia="fr-FR"/>
                    </w:rPr>
                  </w:pPr>
                </w:p>
                <w:p w:rsidR="006867C4" w:rsidRPr="0019646E" w:rsidRDefault="006867C4" w:rsidP="006F6AF2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16"/>
                      <w:szCs w:val="16"/>
                      <w:lang w:eastAsia="fr-FR"/>
                    </w:rPr>
                  </w:pPr>
                </w:p>
                <w:p w:rsidR="006867C4" w:rsidRPr="0019646E" w:rsidRDefault="006867C4" w:rsidP="006F6AF2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16"/>
                      <w:szCs w:val="16"/>
                      <w:lang w:eastAsia="fr-FR"/>
                    </w:rPr>
                  </w:pPr>
                </w:p>
                <w:p w:rsidR="006867C4" w:rsidRPr="0019646E" w:rsidRDefault="006867C4" w:rsidP="006F6AF2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16"/>
                      <w:szCs w:val="16"/>
                      <w:lang w:eastAsia="fr-FR"/>
                    </w:rPr>
                  </w:pPr>
                </w:p>
                <w:p w:rsidR="006867C4" w:rsidRPr="0019646E" w:rsidRDefault="006867C4" w:rsidP="006F6AF2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6867C4" w:rsidRPr="0019646E" w:rsidTr="006F6AF2">
              <w:trPr>
                <w:trHeight w:val="1350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:rsidR="006867C4" w:rsidRPr="0019646E" w:rsidRDefault="006867C4" w:rsidP="006F6AF2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6867C4" w:rsidRPr="0019646E" w:rsidTr="006F6AF2">
              <w:trPr>
                <w:trHeight w:val="67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:rsidR="006867C4" w:rsidRPr="0019646E" w:rsidRDefault="006867C4" w:rsidP="006F6AF2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6867C4" w:rsidRPr="0019646E" w:rsidTr="006F6AF2">
              <w:trPr>
                <w:trHeight w:val="67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:rsidR="006867C4" w:rsidRPr="0019646E" w:rsidRDefault="006867C4" w:rsidP="006F6AF2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6867C4" w:rsidRPr="0019646E" w:rsidTr="006F6AF2">
              <w:trPr>
                <w:trHeight w:val="67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:rsidR="006867C4" w:rsidRPr="0019646E" w:rsidRDefault="006867C4" w:rsidP="006F6AF2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6867C4" w:rsidRPr="0019646E" w:rsidTr="006F6AF2">
              <w:trPr>
                <w:trHeight w:val="67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:rsidR="006867C4" w:rsidRPr="0019646E" w:rsidRDefault="006867C4" w:rsidP="006F6AF2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6867C4" w:rsidRPr="0019646E" w:rsidTr="006F6AF2">
              <w:trPr>
                <w:trHeight w:val="67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:rsidR="006867C4" w:rsidRPr="0019646E" w:rsidRDefault="006867C4" w:rsidP="006F6AF2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6867C4" w:rsidRPr="0019646E" w:rsidTr="006F6AF2">
              <w:trPr>
                <w:trHeight w:val="67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:rsidR="006867C4" w:rsidRPr="0019646E" w:rsidRDefault="006867C4" w:rsidP="006F6AF2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6867C4" w:rsidRPr="0019646E" w:rsidTr="006F6AF2">
              <w:trPr>
                <w:trHeight w:val="1350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:rsidR="006867C4" w:rsidRPr="0019646E" w:rsidRDefault="006867C4" w:rsidP="006F6AF2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6867C4" w:rsidRPr="0019646E" w:rsidTr="006F6AF2">
              <w:trPr>
                <w:trHeight w:val="67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:rsidR="006867C4" w:rsidRPr="0019646E" w:rsidRDefault="006867C4" w:rsidP="006F6AF2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6867C4" w:rsidRPr="0019646E" w:rsidTr="006F6AF2">
              <w:trPr>
                <w:trHeight w:val="67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:rsidR="006867C4" w:rsidRPr="0019646E" w:rsidRDefault="006867C4" w:rsidP="006F6AF2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6867C4" w:rsidRPr="0019646E" w:rsidTr="006F6AF2">
              <w:trPr>
                <w:trHeight w:val="67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:rsidR="006867C4" w:rsidRPr="0019646E" w:rsidRDefault="006867C4" w:rsidP="006F6AF2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6867C4" w:rsidRPr="0019646E" w:rsidTr="006F6AF2">
              <w:trPr>
                <w:trHeight w:val="67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:rsidR="006867C4" w:rsidRPr="0019646E" w:rsidRDefault="006867C4" w:rsidP="006F6AF2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6867C4" w:rsidRPr="0019646E" w:rsidTr="006F6AF2">
              <w:trPr>
                <w:trHeight w:val="67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:rsidR="006867C4" w:rsidRPr="0019646E" w:rsidRDefault="006867C4" w:rsidP="006F6AF2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6867C4" w:rsidRPr="0019646E" w:rsidTr="006F6AF2">
              <w:trPr>
                <w:trHeight w:val="202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:rsidR="006867C4" w:rsidRPr="0019646E" w:rsidRDefault="006867C4" w:rsidP="006F6AF2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fr-FR"/>
                    </w:rPr>
                  </w:pPr>
                  <w:r w:rsidRPr="0019646E">
                    <w:rPr>
                      <w:rFonts w:eastAsia="Times New Roman" w:cs="Times New Roman"/>
                      <w:b/>
                      <w:bCs/>
                      <w:i/>
                      <w:iCs/>
                      <w:color w:val="4A452A"/>
                      <w:sz w:val="16"/>
                      <w:szCs w:val="16"/>
                      <w:lang w:eastAsia="fr-FR"/>
                    </w:rPr>
                    <w:t xml:space="preserve"> </w:t>
                  </w:r>
                </w:p>
              </w:tc>
            </w:tr>
            <w:tr w:rsidR="006867C4" w:rsidRPr="0019646E" w:rsidTr="006F6AF2">
              <w:trPr>
                <w:trHeight w:val="67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:rsidR="006867C4" w:rsidRPr="0019646E" w:rsidRDefault="006867C4" w:rsidP="006F6AF2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6867C4" w:rsidRPr="0019646E" w:rsidTr="006F6AF2">
              <w:trPr>
                <w:trHeight w:val="67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:rsidR="006867C4" w:rsidRPr="0019646E" w:rsidRDefault="006867C4" w:rsidP="006F6AF2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6867C4" w:rsidRPr="0019646E" w:rsidTr="006F6AF2">
              <w:trPr>
                <w:trHeight w:val="1230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:rsidR="006867C4" w:rsidRPr="0019646E" w:rsidRDefault="006867C4" w:rsidP="006F6AF2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6867C4" w:rsidRPr="0019646E" w:rsidTr="006F6AF2">
              <w:trPr>
                <w:trHeight w:val="67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:rsidR="006867C4" w:rsidRPr="0019646E" w:rsidRDefault="006867C4" w:rsidP="006F6AF2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6867C4" w:rsidRPr="0019646E" w:rsidTr="006F6AF2">
              <w:trPr>
                <w:trHeight w:val="1230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:rsidR="006867C4" w:rsidRPr="0019646E" w:rsidRDefault="006867C4" w:rsidP="006F6AF2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6867C4" w:rsidRPr="0019646E" w:rsidTr="006F6AF2">
              <w:trPr>
                <w:trHeight w:val="1230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:rsidR="006867C4" w:rsidRPr="0019646E" w:rsidRDefault="006867C4" w:rsidP="006F6AF2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fr-FR"/>
                    </w:rPr>
                  </w:pPr>
                </w:p>
              </w:tc>
            </w:tr>
            <w:tr w:rsidR="006867C4" w:rsidRPr="0019646E" w:rsidTr="006F6AF2">
              <w:trPr>
                <w:trHeight w:val="900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</w:tcBorders>
                  <w:shd w:val="clear" w:color="000000" w:fill="FFFFFF"/>
                  <w:vAlign w:val="center"/>
                  <w:hideMark/>
                </w:tcPr>
                <w:p w:rsidR="006867C4" w:rsidRPr="0019646E" w:rsidRDefault="006867C4" w:rsidP="006F6AF2">
                  <w:pPr>
                    <w:spacing w:after="0" w:line="240" w:lineRule="auto"/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fr-FR"/>
                    </w:rPr>
                  </w:pPr>
                </w:p>
              </w:tc>
            </w:tr>
          </w:tbl>
          <w:p w:rsidR="006867C4" w:rsidRPr="0019646E" w:rsidRDefault="006867C4" w:rsidP="006F6AF2">
            <w:pPr>
              <w:spacing w:line="240" w:lineRule="auto"/>
              <w:rPr>
                <w:sz w:val="16"/>
                <w:szCs w:val="16"/>
              </w:rPr>
            </w:pPr>
          </w:p>
          <w:p w:rsidR="006867C4" w:rsidRPr="0019646E" w:rsidRDefault="006867C4" w:rsidP="006F6AF2">
            <w:pPr>
              <w:spacing w:line="240" w:lineRule="auto"/>
              <w:rPr>
                <w:sz w:val="16"/>
                <w:szCs w:val="16"/>
              </w:rPr>
            </w:pPr>
          </w:p>
          <w:p w:rsidR="006867C4" w:rsidRPr="0019646E" w:rsidRDefault="006867C4" w:rsidP="006F6AF2">
            <w:pPr>
              <w:spacing w:after="0" w:line="240" w:lineRule="auto"/>
              <w:rPr>
                <w:rFonts w:eastAsia="Times New Roman" w:cs="Times New Roman"/>
                <w:i/>
                <w:iCs/>
                <w:sz w:val="16"/>
                <w:szCs w:val="16"/>
                <w:lang w:eastAsia="fr-FR"/>
              </w:rPr>
            </w:pPr>
          </w:p>
        </w:tc>
      </w:tr>
    </w:tbl>
    <w:p w:rsidR="001C14EA" w:rsidRDefault="001C14EA"/>
    <w:sectPr w:rsidR="001C14EA" w:rsidSect="006867C4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78E2"/>
    <w:rsid w:val="001314B2"/>
    <w:rsid w:val="001978E2"/>
    <w:rsid w:val="001C14EA"/>
    <w:rsid w:val="002449B0"/>
    <w:rsid w:val="003B4195"/>
    <w:rsid w:val="004521B0"/>
    <w:rsid w:val="004C5F68"/>
    <w:rsid w:val="006433FA"/>
    <w:rsid w:val="00675C6E"/>
    <w:rsid w:val="006867C4"/>
    <w:rsid w:val="006A2776"/>
    <w:rsid w:val="00793BCC"/>
    <w:rsid w:val="009252FD"/>
    <w:rsid w:val="009C09F2"/>
    <w:rsid w:val="00A168FF"/>
    <w:rsid w:val="00A70EE9"/>
    <w:rsid w:val="00A90146"/>
    <w:rsid w:val="00AD7C4B"/>
    <w:rsid w:val="00B04568"/>
    <w:rsid w:val="00BC11DF"/>
    <w:rsid w:val="00C66D4A"/>
    <w:rsid w:val="00DE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8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681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64</dc:creator>
  <cp:lastModifiedBy>poste 64</cp:lastModifiedBy>
  <cp:revision>21</cp:revision>
  <dcterms:created xsi:type="dcterms:W3CDTF">2018-06-26T09:06:00Z</dcterms:created>
  <dcterms:modified xsi:type="dcterms:W3CDTF">2018-06-26T10:23:00Z</dcterms:modified>
</cp:coreProperties>
</file>