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78" w:rsidRPr="00B362A0" w:rsidRDefault="00B07978" w:rsidP="00365F50">
      <w:pPr>
        <w:spacing w:line="240" w:lineRule="auto"/>
        <w:ind w:right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fr-FR"/>
        </w:rPr>
      </w:pPr>
      <w:r w:rsidRPr="00B362A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Résumé de 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l’arrêté </w:t>
      </w:r>
      <w:r w:rsidR="00600E22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1164 et 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1</w:t>
      </w:r>
      <w:r w:rsidR="001B6EF8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16</w:t>
      </w:r>
      <w:r w:rsidR="00365F5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5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 du </w:t>
      </w:r>
      <w:r w:rsidR="001B6EF8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04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 </w:t>
      </w:r>
      <w:r w:rsidR="001B6EF8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octobre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 202</w:t>
      </w:r>
      <w:r w:rsidR="001B6EF8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5</w:t>
      </w:r>
      <w:r w:rsidR="00A20720" w:rsidRP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 modifiant l’arrêté 171 du 9 février 2023</w:t>
      </w:r>
      <w:r w:rsidR="00A2072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 xml:space="preserve"> </w:t>
      </w:r>
      <w:r w:rsidR="0006758F" w:rsidRPr="00B362A0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lang w:eastAsia="fr-FR"/>
        </w:rPr>
        <w:t>Portant organisation de la pédagogie</w:t>
      </w:r>
    </w:p>
    <w:p w:rsidR="00B07978" w:rsidRDefault="00B07978" w:rsidP="00B07978">
      <w:pPr>
        <w:shd w:val="clear" w:color="auto" w:fill="FFFFFF"/>
        <w:spacing w:line="240" w:lineRule="auto"/>
        <w:ind w:right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06758F" w:rsidRPr="00A75A83" w:rsidRDefault="0006758F" w:rsidP="006A4EAA">
      <w:pPr>
        <w:shd w:val="clear" w:color="auto" w:fill="FFFFFF"/>
        <w:spacing w:line="240" w:lineRule="auto"/>
        <w:ind w:right="0"/>
        <w:jc w:val="both"/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</w:pPr>
      <w:r w:rsidRPr="00515E8D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 xml:space="preserve">Les dispositions de cet arrêté sont applicables à compter de l’année universitaire </w:t>
      </w:r>
      <w:r w:rsidRPr="00515E8D">
        <w:rPr>
          <w:rFonts w:eastAsia="Times New Roman" w:cstheme="minorHAnsi"/>
          <w:b/>
          <w:bCs/>
          <w:color w:val="FF0000"/>
          <w:sz w:val="32"/>
          <w:szCs w:val="32"/>
          <w:lang w:eastAsia="fr-FR"/>
        </w:rPr>
        <w:t>202</w:t>
      </w:r>
      <w:r w:rsidR="006A4EAA">
        <w:rPr>
          <w:rFonts w:eastAsia="Times New Roman" w:cstheme="minorHAnsi"/>
          <w:b/>
          <w:bCs/>
          <w:color w:val="FF0000"/>
          <w:sz w:val="32"/>
          <w:szCs w:val="32"/>
          <w:lang w:eastAsia="fr-FR"/>
        </w:rPr>
        <w:t>5</w:t>
      </w:r>
      <w:r w:rsidRPr="00515E8D">
        <w:rPr>
          <w:rFonts w:eastAsia="Times New Roman" w:cstheme="minorHAnsi"/>
          <w:b/>
          <w:bCs/>
          <w:color w:val="FF0000"/>
          <w:sz w:val="32"/>
          <w:szCs w:val="32"/>
          <w:lang w:eastAsia="fr-FR"/>
        </w:rPr>
        <w:t>/202</w:t>
      </w:r>
      <w:r w:rsidR="006A4EAA">
        <w:rPr>
          <w:rFonts w:eastAsia="Times New Roman" w:cstheme="minorHAnsi"/>
          <w:b/>
          <w:bCs/>
          <w:color w:val="FF0000"/>
          <w:sz w:val="32"/>
          <w:szCs w:val="32"/>
          <w:lang w:eastAsia="fr-FR"/>
        </w:rPr>
        <w:t>6</w:t>
      </w:r>
      <w:r w:rsidRPr="00515E8D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>.</w:t>
      </w:r>
      <w:r w:rsidRPr="00515E8D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 xml:space="preserve"> </w:t>
      </w:r>
      <w:r w:rsidRPr="00A75A83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 xml:space="preserve"> </w:t>
      </w:r>
    </w:p>
    <w:p w:rsidR="0006758F" w:rsidRPr="00A75A83" w:rsidRDefault="0006758F" w:rsidP="0006758F">
      <w:pPr>
        <w:shd w:val="clear" w:color="auto" w:fill="FFFFFF"/>
        <w:spacing w:line="240" w:lineRule="auto"/>
        <w:ind w:right="0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06758F" w:rsidRPr="00D71D5A" w:rsidRDefault="0006758F" w:rsidP="0006758F">
      <w:pPr>
        <w:shd w:val="clear" w:color="auto" w:fill="FFFFFF"/>
        <w:spacing w:line="240" w:lineRule="auto"/>
        <w:ind w:right="0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D71D5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Suspension de la formation</w:t>
      </w:r>
    </w:p>
    <w:p w:rsidR="0006758F" w:rsidRPr="00A75A83" w:rsidRDefault="0006758F" w:rsidP="0006758F">
      <w:pPr>
        <w:shd w:val="clear" w:color="auto" w:fill="FFFFFF"/>
        <w:spacing w:line="240" w:lineRule="auto"/>
        <w:ind w:right="0"/>
        <w:jc w:val="center"/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</w:pPr>
    </w:p>
    <w:p w:rsidR="0006758F" w:rsidRDefault="0006758F" w:rsidP="005F4D12">
      <w:pPr>
        <w:shd w:val="clear" w:color="auto" w:fill="FFFFFF"/>
        <w:spacing w:line="240" w:lineRule="auto"/>
        <w:ind w:right="0" w:firstLine="14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75A83">
        <w:rPr>
          <w:rFonts w:eastAsia="Times New Roman" w:cstheme="minorHAnsi"/>
          <w:color w:val="222222"/>
          <w:sz w:val="26"/>
          <w:szCs w:val="26"/>
          <w:lang w:eastAsia="fr-FR"/>
        </w:rPr>
        <w:t xml:space="preserve">La demande justifiée de la suspension </w:t>
      </w:r>
      <w:r w:rsidR="000F37DA" w:rsidRPr="00A75A83">
        <w:rPr>
          <w:rFonts w:eastAsia="Times New Roman" w:cstheme="minorHAnsi"/>
          <w:color w:val="222222"/>
          <w:sz w:val="26"/>
          <w:szCs w:val="26"/>
          <w:lang w:eastAsia="fr-FR"/>
        </w:rPr>
        <w:t>de la formation (Congé académique) doit être déposée auprès du service scolarité, après avis du chef de département, avant le premier examen du semestre</w:t>
      </w:r>
      <w:r w:rsidR="00636FD3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paire</w:t>
      </w:r>
      <w:r w:rsidR="000F37DA" w:rsidRPr="00A75A83">
        <w:rPr>
          <w:rFonts w:eastAsia="Times New Roman" w:cstheme="minorHAnsi"/>
          <w:color w:val="222222"/>
          <w:sz w:val="26"/>
          <w:szCs w:val="26"/>
          <w:lang w:eastAsia="fr-FR"/>
        </w:rPr>
        <w:t>.</w:t>
      </w:r>
      <w:r w:rsidR="005F4D1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Le c</w:t>
      </w:r>
      <w:r w:rsidR="005F4D12" w:rsidRPr="00A75A83">
        <w:rPr>
          <w:rFonts w:eastAsia="Times New Roman" w:cstheme="minorHAnsi"/>
          <w:color w:val="222222"/>
          <w:sz w:val="26"/>
          <w:szCs w:val="26"/>
          <w:lang w:eastAsia="fr-FR"/>
        </w:rPr>
        <w:t>ongé académique</w:t>
      </w:r>
      <w:r w:rsidR="005F4D1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peut être prolongé avant la </w:t>
      </w:r>
      <w:r w:rsidR="00636FD3">
        <w:rPr>
          <w:rFonts w:eastAsia="Times New Roman" w:cstheme="minorHAnsi"/>
          <w:color w:val="222222"/>
          <w:sz w:val="26"/>
          <w:szCs w:val="26"/>
          <w:lang w:eastAsia="fr-FR"/>
        </w:rPr>
        <w:t xml:space="preserve">demande de </w:t>
      </w:r>
      <w:r w:rsidR="005F4D12">
        <w:rPr>
          <w:rFonts w:eastAsia="Times New Roman" w:cstheme="minorHAnsi"/>
          <w:color w:val="222222"/>
          <w:sz w:val="26"/>
          <w:szCs w:val="26"/>
          <w:lang w:eastAsia="fr-FR"/>
        </w:rPr>
        <w:t>reprise des études.</w:t>
      </w:r>
    </w:p>
    <w:p w:rsidR="00A727C9" w:rsidRDefault="00A727C9" w:rsidP="005F4D12">
      <w:pPr>
        <w:shd w:val="clear" w:color="auto" w:fill="FFFFFF"/>
        <w:spacing w:line="240" w:lineRule="auto"/>
        <w:ind w:right="0" w:firstLine="14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A727C9" w:rsidRDefault="00A727C9" w:rsidP="00A727C9">
      <w:pPr>
        <w:shd w:val="clear" w:color="auto" w:fill="FFFFFF"/>
        <w:spacing w:line="240" w:lineRule="auto"/>
        <w:ind w:right="0" w:firstLine="142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A727C9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L’assiduité</w:t>
      </w:r>
    </w:p>
    <w:p w:rsidR="00A727C9" w:rsidRDefault="00A727C9" w:rsidP="00A727C9">
      <w:pPr>
        <w:shd w:val="clear" w:color="auto" w:fill="FFFFFF"/>
        <w:spacing w:line="240" w:lineRule="auto"/>
        <w:ind w:right="0" w:firstLine="142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D80648" w:rsidRDefault="00A727C9" w:rsidP="00A727C9">
      <w:pPr>
        <w:shd w:val="clear" w:color="auto" w:fill="FFFFFF"/>
        <w:spacing w:line="240" w:lineRule="auto"/>
        <w:ind w:right="0" w:firstLine="14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727C9">
        <w:rPr>
          <w:rFonts w:eastAsia="Times New Roman" w:cstheme="minorHAnsi"/>
          <w:color w:val="222222"/>
          <w:sz w:val="26"/>
          <w:szCs w:val="26"/>
          <w:lang w:eastAsia="fr-FR"/>
        </w:rPr>
        <w:t>L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a présence aux travaux dirigés et aux travaux pratiques est obligatoire. Trois absences non justifiées ou cinq absences, mêmes justifiées, </w:t>
      </w:r>
      <w:r w:rsidR="00BF29BB">
        <w:rPr>
          <w:rFonts w:eastAsia="Times New Roman" w:cstheme="minorHAnsi"/>
          <w:color w:val="222222"/>
          <w:sz w:val="26"/>
          <w:szCs w:val="26"/>
          <w:lang w:eastAsia="fr-FR"/>
        </w:rPr>
        <w:t>entraînent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 une exclusion</w:t>
      </w:r>
      <w:r w:rsidR="00BF29BB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dans la matière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.</w:t>
      </w:r>
    </w:p>
    <w:p w:rsidR="00A727C9" w:rsidRPr="00A727C9" w:rsidRDefault="00D80648" w:rsidP="00D80648">
      <w:pPr>
        <w:shd w:val="clear" w:color="auto" w:fill="FFFFFF"/>
        <w:spacing w:line="240" w:lineRule="auto"/>
        <w:ind w:right="0" w:firstLine="14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Le justificatif médical, en cas de maladie, doit être certifié par le </w:t>
      </w:r>
      <w:r w:rsidRPr="00D80648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médecin de l’établissement universitaire.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 </w:t>
      </w:r>
      <w:r w:rsidR="00A727C9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  </w:t>
      </w:r>
    </w:p>
    <w:p w:rsidR="00A727C9" w:rsidRPr="00A75A83" w:rsidRDefault="00A727C9" w:rsidP="00195022">
      <w:pPr>
        <w:shd w:val="clear" w:color="auto" w:fill="FFFFFF"/>
        <w:spacing w:line="240" w:lineRule="auto"/>
        <w:ind w:right="0" w:firstLine="14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06758F" w:rsidRDefault="000F37DA" w:rsidP="00FD4C3B">
      <w:pPr>
        <w:shd w:val="clear" w:color="auto" w:fill="FFFFFF"/>
        <w:spacing w:line="240" w:lineRule="auto"/>
        <w:ind w:right="0" w:firstLine="142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D71D5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Progression dans la formation </w:t>
      </w:r>
      <w:r w:rsidR="00DF3EFB" w:rsidRPr="00D71D5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Licence</w:t>
      </w:r>
      <w:r w:rsidR="00FD4C3B" w:rsidRPr="00D71D5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et</w:t>
      </w:r>
      <w:r w:rsidR="00DF3EFB" w:rsidRPr="00D71D5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Master</w:t>
      </w:r>
    </w:p>
    <w:p w:rsidR="00B82A4B" w:rsidRDefault="00B82A4B" w:rsidP="00FD4C3B">
      <w:pPr>
        <w:shd w:val="clear" w:color="auto" w:fill="FFFFFF"/>
        <w:spacing w:line="240" w:lineRule="auto"/>
        <w:ind w:right="0" w:firstLine="142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</w:p>
    <w:p w:rsidR="00B82A4B" w:rsidRDefault="00B82A4B" w:rsidP="009B00B5">
      <w:pPr>
        <w:shd w:val="clear" w:color="auto" w:fill="FFFFFF"/>
        <w:spacing w:after="120" w:line="240" w:lineRule="auto"/>
        <w:ind w:right="0" w:firstLine="142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B82A4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L’admission </w:t>
      </w:r>
      <w:r w:rsidR="009B00B5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avec les</w:t>
      </w:r>
      <w:r w:rsidRPr="00B82A4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dettes</w:t>
      </w:r>
      <w:r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 :</w:t>
      </w:r>
    </w:p>
    <w:p w:rsidR="00B82A4B" w:rsidRDefault="00041368" w:rsidP="00E0525D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ind w:left="284" w:right="0" w:hanging="142"/>
        <w:jc w:val="both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3B6C93">
        <w:rPr>
          <w:rFonts w:eastAsia="Times New Roman" w:cstheme="minorHAnsi"/>
          <w:color w:val="222222"/>
          <w:sz w:val="28"/>
          <w:szCs w:val="28"/>
          <w:lang w:eastAsia="fr-FR"/>
        </w:rPr>
        <w:t>La progression de la deuxième à la troisième année</w:t>
      </w:r>
      <w:r w:rsidR="009F6615" w:rsidRPr="003B6C93">
        <w:rPr>
          <w:rFonts w:eastAsia="Times New Roman" w:cstheme="minorHAnsi"/>
          <w:color w:val="222222"/>
          <w:sz w:val="28"/>
          <w:szCs w:val="28"/>
          <w:lang w:eastAsia="fr-FR"/>
        </w:rPr>
        <w:t xml:space="preserve"> licence</w:t>
      </w:r>
      <w:r w:rsidRPr="003B6C93">
        <w:rPr>
          <w:rFonts w:eastAsia="Times New Roman" w:cstheme="minorHAnsi"/>
          <w:color w:val="222222"/>
          <w:sz w:val="28"/>
          <w:szCs w:val="28"/>
          <w:lang w:eastAsia="fr-FR"/>
        </w:rPr>
        <w:t xml:space="preserve"> avec dettes est autorisée sous réserve de l'acquisition d'au moins 90 crédits entre la première et la deuxième année. </w:t>
      </w:r>
      <w:r w:rsidRPr="00E0525D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L'étudiant doit avoir obtenu 60 crédits dans l'une de ces deux années et avoir validé les unités fondamentales dans l'autre.</w:t>
      </w:r>
    </w:p>
    <w:p w:rsidR="00E0525D" w:rsidRDefault="00E0525D" w:rsidP="00E0525D">
      <w:pPr>
        <w:pStyle w:val="Paragraphedeliste"/>
        <w:shd w:val="clear" w:color="auto" w:fill="FFFFFF"/>
        <w:spacing w:line="240" w:lineRule="auto"/>
        <w:ind w:left="284" w:right="0"/>
        <w:jc w:val="both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</w:p>
    <w:p w:rsidR="00E0525D" w:rsidRPr="00E0525D" w:rsidRDefault="00E0525D" w:rsidP="00E0525D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ind w:left="284" w:right="0" w:hanging="142"/>
        <w:jc w:val="both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3B6C93">
        <w:rPr>
          <w:rFonts w:eastAsia="Times New Roman" w:cstheme="minorHAnsi"/>
          <w:color w:val="222222"/>
          <w:sz w:val="28"/>
          <w:szCs w:val="28"/>
          <w:lang w:eastAsia="fr-FR"/>
        </w:rPr>
        <w:t>La progression de la</w:t>
      </w:r>
      <w:r>
        <w:rPr>
          <w:rFonts w:eastAsia="Times New Roman" w:cstheme="minorHAnsi"/>
          <w:color w:val="222222"/>
          <w:sz w:val="28"/>
          <w:szCs w:val="28"/>
          <w:lang w:eastAsia="fr-FR"/>
        </w:rPr>
        <w:t xml:space="preserve"> première</w:t>
      </w:r>
      <w:r w:rsidRPr="003B6C93">
        <w:rPr>
          <w:rFonts w:eastAsia="Times New Roman" w:cstheme="minorHAnsi"/>
          <w:color w:val="222222"/>
          <w:sz w:val="28"/>
          <w:szCs w:val="28"/>
          <w:lang w:eastAsia="fr-FR"/>
        </w:rPr>
        <w:t xml:space="preserve"> à la deuxième année </w:t>
      </w:r>
      <w:r>
        <w:rPr>
          <w:rFonts w:eastAsia="Times New Roman" w:cstheme="minorHAnsi"/>
          <w:color w:val="222222"/>
          <w:sz w:val="28"/>
          <w:szCs w:val="28"/>
          <w:lang w:eastAsia="fr-FR"/>
        </w:rPr>
        <w:t>master</w:t>
      </w:r>
      <w:r w:rsidRPr="003B6C93">
        <w:rPr>
          <w:rFonts w:eastAsia="Times New Roman" w:cstheme="minorHAnsi"/>
          <w:color w:val="222222"/>
          <w:sz w:val="28"/>
          <w:szCs w:val="28"/>
          <w:lang w:eastAsia="fr-FR"/>
        </w:rPr>
        <w:t xml:space="preserve"> avec dettes est autorisée sous réserve de l'acquisition d'au moins </w:t>
      </w:r>
      <w:r w:rsidRPr="00E0525D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45 crédits </w:t>
      </w:r>
      <w:r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et</w:t>
      </w:r>
      <w:r w:rsidRPr="00E0525D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avoir validé les unités fondamentales.</w:t>
      </w:r>
    </w:p>
    <w:p w:rsidR="00A20720" w:rsidRDefault="00A20720" w:rsidP="00195022">
      <w:pPr>
        <w:shd w:val="clear" w:color="auto" w:fill="FFFFFF"/>
        <w:spacing w:line="240" w:lineRule="auto"/>
        <w:ind w:right="0" w:firstLine="142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0746E7" w:rsidRPr="000746E7" w:rsidRDefault="00A20720" w:rsidP="000746E7">
      <w:pPr>
        <w:pStyle w:val="Paragraphedeliste"/>
        <w:numPr>
          <w:ilvl w:val="0"/>
          <w:numId w:val="2"/>
        </w:numPr>
        <w:shd w:val="clear" w:color="auto" w:fill="FFFFFF"/>
        <w:spacing w:after="240" w:line="240" w:lineRule="auto"/>
        <w:ind w:left="284" w:right="0" w:hanging="284"/>
        <w:jc w:val="both"/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</w:pPr>
      <w:r w:rsidRPr="000746E7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>Pour les étudiants répétitifs, les notes inférieures à (</w:t>
      </w:r>
      <w:r w:rsidR="000E5E52" w:rsidRPr="000746E7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 xml:space="preserve">&lt; 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>10/20)</w:t>
      </w:r>
      <w:r w:rsidR="000E5E52" w:rsidRPr="000746E7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 xml:space="preserve"> des matières appartenant à 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lang w:eastAsia="fr-FR"/>
        </w:rPr>
        <w:t xml:space="preserve">des unités et du semestre 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non acquis </w:t>
      </w:r>
      <w:r w:rsidR="000746E7"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ne 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sont </w:t>
      </w:r>
      <w:r w:rsidR="000746E7"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pas 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>remisent à (00/20)</w:t>
      </w:r>
      <w:r w:rsid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>.</w:t>
      </w:r>
      <w:r w:rsidR="000746E7"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 </w:t>
      </w:r>
      <w:r w:rsid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>L</w:t>
      </w:r>
      <w:r w:rsidR="000746E7"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>a meilleure note entre la nouvelle et l’ancienne est considérée</w:t>
      </w:r>
      <w:r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>.</w:t>
      </w:r>
      <w:r w:rsidR="00C83428" w:rsidRPr="000746E7"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  <w:t xml:space="preserve"> </w:t>
      </w:r>
    </w:p>
    <w:p w:rsidR="00AC0B42" w:rsidRPr="00AC0B42" w:rsidRDefault="00AC0B42" w:rsidP="00AC0B42">
      <w:pPr>
        <w:pStyle w:val="Paragraphedeliste"/>
        <w:shd w:val="clear" w:color="auto" w:fill="FFFFFF"/>
        <w:spacing w:after="240" w:line="240" w:lineRule="auto"/>
        <w:ind w:left="284" w:right="0"/>
        <w:jc w:val="both"/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</w:pPr>
    </w:p>
    <w:p w:rsidR="004D3CC6" w:rsidRPr="00AC0B42" w:rsidRDefault="004D3CC6" w:rsidP="00C30A67">
      <w:pPr>
        <w:pStyle w:val="Paragraphedeliste"/>
        <w:numPr>
          <w:ilvl w:val="0"/>
          <w:numId w:val="2"/>
        </w:numPr>
        <w:shd w:val="clear" w:color="auto" w:fill="FFFFFF"/>
        <w:spacing w:after="120" w:line="240" w:lineRule="auto"/>
        <w:ind w:left="284" w:right="0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L'étudiant </w:t>
      </w:r>
      <w:r w:rsidR="00D71D5A" w:rsidRPr="00AC0B42">
        <w:rPr>
          <w:rFonts w:eastAsia="Times New Roman" w:cstheme="minorHAnsi"/>
          <w:color w:val="222222"/>
          <w:sz w:val="26"/>
          <w:szCs w:val="26"/>
          <w:lang w:eastAsia="fr-FR"/>
        </w:rPr>
        <w:t>n’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est</w:t>
      </w:r>
      <w:r w:rsidR="00D71D5A"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pas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autorisé à passer les examens des matières non acquises appartenant à l'unité acquise par compensation. </w:t>
      </w:r>
    </w:p>
    <w:p w:rsidR="00AC0B42" w:rsidRPr="00AC0B42" w:rsidRDefault="00AC0B42" w:rsidP="00C30A67">
      <w:pPr>
        <w:pStyle w:val="Paragraphedeliste"/>
        <w:spacing w:after="120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D71D5A" w:rsidRPr="00AC0B42" w:rsidRDefault="00D71D5A" w:rsidP="00C30A67">
      <w:pPr>
        <w:pStyle w:val="Paragraphedeliste"/>
        <w:numPr>
          <w:ilvl w:val="0"/>
          <w:numId w:val="2"/>
        </w:numPr>
        <w:shd w:val="clear" w:color="auto" w:fill="FFFFFF"/>
        <w:spacing w:after="120" w:line="240" w:lineRule="auto"/>
        <w:ind w:left="284" w:right="0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lastRenderedPageBreak/>
        <w:t>L’unité d’enseignement est acquise par compensation des notes des matières qui la constituent.</w:t>
      </w:r>
    </w:p>
    <w:p w:rsidR="00AC0B42" w:rsidRPr="00AC0B42" w:rsidRDefault="00AC0B42" w:rsidP="00C30A67">
      <w:pPr>
        <w:pStyle w:val="Paragraphedeliste"/>
        <w:spacing w:after="120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4D3CC6" w:rsidRPr="00AC0B42" w:rsidRDefault="004D3CC6" w:rsidP="00C30A67">
      <w:pPr>
        <w:pStyle w:val="Paragraphedeliste"/>
        <w:numPr>
          <w:ilvl w:val="0"/>
          <w:numId w:val="2"/>
        </w:numPr>
        <w:shd w:val="clear" w:color="auto" w:fill="FFFFFF"/>
        <w:spacing w:after="120" w:line="240" w:lineRule="auto"/>
        <w:ind w:left="284" w:right="0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Le semestre d’enseignement est acquis par compensation des notes des unités qui l</w:t>
      </w:r>
      <w:r w:rsidR="00AC0B42">
        <w:rPr>
          <w:rFonts w:eastAsia="Times New Roman" w:cstheme="minorHAnsi"/>
          <w:color w:val="222222"/>
          <w:sz w:val="26"/>
          <w:szCs w:val="26"/>
          <w:lang w:eastAsia="fr-FR"/>
        </w:rPr>
        <w:t>e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constituent.</w:t>
      </w:r>
    </w:p>
    <w:p w:rsidR="00AC0B42" w:rsidRPr="00AC0B42" w:rsidRDefault="00AC0B42" w:rsidP="00C30A67">
      <w:pPr>
        <w:pStyle w:val="Paragraphedeliste"/>
        <w:spacing w:after="120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DF3EFB" w:rsidRDefault="00DF3EFB" w:rsidP="00C30A67">
      <w:pPr>
        <w:pStyle w:val="Paragraphedeliste"/>
        <w:numPr>
          <w:ilvl w:val="0"/>
          <w:numId w:val="2"/>
        </w:numPr>
        <w:shd w:val="clear" w:color="auto" w:fill="FFFFFF"/>
        <w:spacing w:after="120" w:line="240" w:lineRule="auto"/>
        <w:ind w:left="284" w:right="0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L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>'étudiant n'est pas autorisé à passer les examens de</w:t>
      </w:r>
      <w:r w:rsidR="00AC0B42">
        <w:rPr>
          <w:rFonts w:eastAsia="Times New Roman" w:cstheme="minorHAnsi"/>
          <w:color w:val="222222"/>
          <w:sz w:val="26"/>
          <w:szCs w:val="26"/>
          <w:lang w:eastAsia="fr-FR"/>
        </w:rPr>
        <w:t>s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rattrapage</w:t>
      </w:r>
      <w:r w:rsidR="00AC0B42">
        <w:rPr>
          <w:rFonts w:eastAsia="Times New Roman" w:cstheme="minorHAnsi"/>
          <w:color w:val="222222"/>
          <w:sz w:val="26"/>
          <w:szCs w:val="26"/>
          <w:lang w:eastAsia="fr-FR"/>
        </w:rPr>
        <w:t>s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dans le </w:t>
      </w:r>
      <w:r w:rsidR="00B07978" w:rsidRPr="00075FBB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semestre acquis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par </w:t>
      </w:r>
      <w:r w:rsidR="00075FBB">
        <w:rPr>
          <w:rFonts w:eastAsia="Times New Roman" w:cstheme="minorHAnsi"/>
          <w:color w:val="222222"/>
          <w:sz w:val="26"/>
          <w:szCs w:val="26"/>
          <w:lang w:eastAsia="fr-FR"/>
        </w:rPr>
        <w:t>la session 1 (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>l</w:t>
      </w:r>
      <w:r w:rsid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es 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>examen</w:t>
      </w:r>
      <w:r w:rsidR="00075FBB">
        <w:rPr>
          <w:rFonts w:eastAsia="Times New Roman" w:cstheme="minorHAnsi"/>
          <w:color w:val="222222"/>
          <w:sz w:val="26"/>
          <w:szCs w:val="26"/>
          <w:lang w:eastAsia="fr-FR"/>
        </w:rPr>
        <w:t>s finaux)</w:t>
      </w:r>
      <w:r w:rsidR="00B07978"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. </w:t>
      </w:r>
    </w:p>
    <w:p w:rsidR="00075FBB" w:rsidRPr="00075FBB" w:rsidRDefault="00075FBB" w:rsidP="00C30A67">
      <w:pPr>
        <w:pStyle w:val="Paragraphedeliste"/>
        <w:spacing w:after="120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075FBB" w:rsidRDefault="00075FBB" w:rsidP="00C30A67">
      <w:pPr>
        <w:pStyle w:val="Paragraphedeliste"/>
        <w:numPr>
          <w:ilvl w:val="0"/>
          <w:numId w:val="2"/>
        </w:numPr>
        <w:shd w:val="clear" w:color="auto" w:fill="FFFFFF"/>
        <w:spacing w:after="120" w:line="240" w:lineRule="auto"/>
        <w:ind w:left="284" w:right="0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L'étudiant n'est pas autorisé à passer les examens de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s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rattrapage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s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</w:t>
      </w:r>
      <w:r w:rsidRPr="00075FBB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si l’année est acquise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par 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la session 1 (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l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es 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examen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>s finaux)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.</w:t>
      </w:r>
    </w:p>
    <w:p w:rsidR="00515E8D" w:rsidRPr="00515E8D" w:rsidRDefault="00515E8D" w:rsidP="00C30A67">
      <w:pPr>
        <w:pStyle w:val="Paragraphedeliste"/>
        <w:spacing w:after="120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776D18" w:rsidRPr="00AC0B42" w:rsidRDefault="00776D18" w:rsidP="00C30A67">
      <w:pPr>
        <w:pStyle w:val="Paragraphedeliste"/>
        <w:numPr>
          <w:ilvl w:val="0"/>
          <w:numId w:val="2"/>
        </w:numPr>
        <w:spacing w:after="120"/>
        <w:ind w:left="284" w:right="-2" w:hanging="284"/>
        <w:jc w:val="both"/>
        <w:rPr>
          <w:rFonts w:cstheme="minorHAnsi"/>
          <w:sz w:val="26"/>
          <w:szCs w:val="26"/>
        </w:rPr>
      </w:pPr>
      <w:r w:rsidRPr="00AC0B42">
        <w:rPr>
          <w:rFonts w:cstheme="minorHAnsi"/>
          <w:sz w:val="26"/>
          <w:szCs w:val="26"/>
        </w:rPr>
        <w:t>La 5</w:t>
      </w:r>
      <w:r w:rsidRPr="00AC0B42">
        <w:rPr>
          <w:rFonts w:cstheme="minorHAnsi"/>
          <w:sz w:val="26"/>
          <w:szCs w:val="26"/>
          <w:vertAlign w:val="superscript"/>
        </w:rPr>
        <w:t>ème</w:t>
      </w:r>
      <w:r w:rsidRPr="00AC0B42">
        <w:rPr>
          <w:rFonts w:cstheme="minorHAnsi"/>
          <w:sz w:val="26"/>
          <w:szCs w:val="26"/>
        </w:rPr>
        <w:t xml:space="preserve"> inscription en deuxième année licence n’est pas autorisée. L’étudiant est exclu.</w:t>
      </w:r>
      <w:r w:rsidR="00075FBB">
        <w:rPr>
          <w:rFonts w:cstheme="minorHAnsi"/>
          <w:sz w:val="26"/>
          <w:szCs w:val="26"/>
        </w:rPr>
        <w:t xml:space="preserve"> Les deux années </w:t>
      </w:r>
      <w:r w:rsidR="00075FBB" w:rsidRPr="00075FBB">
        <w:rPr>
          <w:rFonts w:cstheme="minorHAnsi"/>
          <w:b/>
          <w:bCs/>
          <w:sz w:val="26"/>
          <w:szCs w:val="26"/>
        </w:rPr>
        <w:t>(</w:t>
      </w:r>
      <w:r w:rsidR="00221D6D">
        <w:rPr>
          <w:rFonts w:cstheme="minorHAnsi"/>
          <w:b/>
          <w:bCs/>
          <w:sz w:val="26"/>
          <w:szCs w:val="26"/>
        </w:rPr>
        <w:t>2</w:t>
      </w:r>
      <w:r w:rsidR="00075FBB" w:rsidRPr="00075FBB">
        <w:rPr>
          <w:rFonts w:cstheme="minorHAnsi"/>
          <w:b/>
          <w:bCs/>
          <w:sz w:val="26"/>
          <w:szCs w:val="26"/>
        </w:rPr>
        <w:t>019-2020)</w:t>
      </w:r>
      <w:r w:rsidR="00075FBB">
        <w:rPr>
          <w:rFonts w:cstheme="minorHAnsi"/>
          <w:sz w:val="26"/>
          <w:szCs w:val="26"/>
        </w:rPr>
        <w:t xml:space="preserve"> et </w:t>
      </w:r>
      <w:r w:rsidR="00075FBB" w:rsidRPr="00075FBB">
        <w:rPr>
          <w:rFonts w:cstheme="minorHAnsi"/>
          <w:b/>
          <w:bCs/>
          <w:sz w:val="26"/>
          <w:szCs w:val="26"/>
        </w:rPr>
        <w:t>(2021/2022)</w:t>
      </w:r>
      <w:r w:rsidR="00075FBB">
        <w:rPr>
          <w:rFonts w:cstheme="minorHAnsi"/>
          <w:sz w:val="26"/>
          <w:szCs w:val="26"/>
        </w:rPr>
        <w:t xml:space="preserve"> ne sont pas comptabilisées dans </w:t>
      </w:r>
      <w:r w:rsidR="00515E8D">
        <w:rPr>
          <w:rFonts w:cstheme="minorHAnsi"/>
          <w:sz w:val="26"/>
          <w:szCs w:val="26"/>
        </w:rPr>
        <w:t>le calcul du cursus</w:t>
      </w:r>
      <w:r w:rsidR="00075FBB">
        <w:rPr>
          <w:rFonts w:cstheme="minorHAnsi"/>
          <w:sz w:val="26"/>
          <w:szCs w:val="26"/>
        </w:rPr>
        <w:t>.</w:t>
      </w:r>
    </w:p>
    <w:p w:rsidR="00AC0B42" w:rsidRPr="00AC0B42" w:rsidRDefault="00AC0B42" w:rsidP="00C30A67">
      <w:pPr>
        <w:pStyle w:val="Paragraphedeliste"/>
        <w:spacing w:after="120"/>
        <w:rPr>
          <w:rFonts w:cstheme="minorHAnsi"/>
          <w:sz w:val="26"/>
          <w:szCs w:val="26"/>
        </w:rPr>
      </w:pPr>
    </w:p>
    <w:p w:rsidR="00776D18" w:rsidRDefault="00776D18" w:rsidP="00C30A67">
      <w:pPr>
        <w:pStyle w:val="Paragraphedeliste"/>
        <w:numPr>
          <w:ilvl w:val="0"/>
          <w:numId w:val="2"/>
        </w:numPr>
        <w:spacing w:after="120"/>
        <w:ind w:left="284" w:right="-2" w:hanging="284"/>
        <w:jc w:val="both"/>
        <w:rPr>
          <w:rFonts w:cstheme="minorHAnsi"/>
          <w:sz w:val="26"/>
          <w:szCs w:val="26"/>
        </w:rPr>
      </w:pPr>
      <w:r w:rsidRPr="00AC0B42">
        <w:rPr>
          <w:rFonts w:cstheme="minorHAnsi"/>
          <w:sz w:val="26"/>
          <w:szCs w:val="26"/>
        </w:rPr>
        <w:t>La 6</w:t>
      </w:r>
      <w:r w:rsidRPr="00AC0B42">
        <w:rPr>
          <w:rFonts w:cstheme="minorHAnsi"/>
          <w:sz w:val="26"/>
          <w:szCs w:val="26"/>
          <w:vertAlign w:val="superscript"/>
        </w:rPr>
        <w:t>ème</w:t>
      </w:r>
      <w:r w:rsidRPr="00AC0B42">
        <w:rPr>
          <w:rFonts w:cstheme="minorHAnsi"/>
          <w:sz w:val="26"/>
          <w:szCs w:val="26"/>
        </w:rPr>
        <w:t xml:space="preserve"> inscription en troisième année licence est autorisée</w:t>
      </w:r>
      <w:r w:rsidR="006A36F1" w:rsidRPr="00AC0B42">
        <w:rPr>
          <w:rFonts w:cstheme="minorHAnsi"/>
          <w:sz w:val="26"/>
          <w:szCs w:val="26"/>
        </w:rPr>
        <w:t xml:space="preserve"> exceptionnellement pour un étudiant ayant capitalisé 120 crédits</w:t>
      </w:r>
      <w:r w:rsidRPr="00AC0B42">
        <w:rPr>
          <w:rFonts w:cstheme="minorHAnsi"/>
          <w:sz w:val="26"/>
          <w:szCs w:val="26"/>
        </w:rPr>
        <w:t>.</w:t>
      </w:r>
      <w:r w:rsidR="00515E8D" w:rsidRPr="00515E8D">
        <w:rPr>
          <w:rFonts w:cstheme="minorHAnsi"/>
          <w:sz w:val="26"/>
          <w:szCs w:val="26"/>
        </w:rPr>
        <w:t xml:space="preserve"> </w:t>
      </w:r>
      <w:r w:rsidR="00515E8D">
        <w:rPr>
          <w:rFonts w:cstheme="minorHAnsi"/>
          <w:sz w:val="26"/>
          <w:szCs w:val="26"/>
        </w:rPr>
        <w:t xml:space="preserve">Les deux années </w:t>
      </w:r>
      <w:r w:rsidR="00515E8D" w:rsidRPr="00075FBB">
        <w:rPr>
          <w:rFonts w:cstheme="minorHAnsi"/>
          <w:b/>
          <w:bCs/>
          <w:sz w:val="26"/>
          <w:szCs w:val="26"/>
        </w:rPr>
        <w:t>(</w:t>
      </w:r>
      <w:r w:rsidR="00221D6D">
        <w:rPr>
          <w:rFonts w:cstheme="minorHAnsi"/>
          <w:b/>
          <w:bCs/>
          <w:sz w:val="26"/>
          <w:szCs w:val="26"/>
        </w:rPr>
        <w:t>2</w:t>
      </w:r>
      <w:r w:rsidR="00515E8D" w:rsidRPr="00075FBB">
        <w:rPr>
          <w:rFonts w:cstheme="minorHAnsi"/>
          <w:b/>
          <w:bCs/>
          <w:sz w:val="26"/>
          <w:szCs w:val="26"/>
        </w:rPr>
        <w:t>019-2020)</w:t>
      </w:r>
      <w:r w:rsidR="00515E8D">
        <w:rPr>
          <w:rFonts w:cstheme="minorHAnsi"/>
          <w:sz w:val="26"/>
          <w:szCs w:val="26"/>
        </w:rPr>
        <w:t xml:space="preserve"> et </w:t>
      </w:r>
      <w:r w:rsidR="00515E8D" w:rsidRPr="00075FBB">
        <w:rPr>
          <w:rFonts w:cstheme="minorHAnsi"/>
          <w:b/>
          <w:bCs/>
          <w:sz w:val="26"/>
          <w:szCs w:val="26"/>
        </w:rPr>
        <w:t>(2021/2022)</w:t>
      </w:r>
      <w:r w:rsidR="00515E8D">
        <w:rPr>
          <w:rFonts w:cstheme="minorHAnsi"/>
          <w:sz w:val="26"/>
          <w:szCs w:val="26"/>
        </w:rPr>
        <w:t xml:space="preserve"> ne sont pas comptabilisées dans le calcul</w:t>
      </w:r>
      <w:r w:rsidR="00515E8D" w:rsidRPr="00515E8D">
        <w:rPr>
          <w:rFonts w:cstheme="minorHAnsi"/>
          <w:sz w:val="26"/>
          <w:szCs w:val="26"/>
        </w:rPr>
        <w:t xml:space="preserve"> </w:t>
      </w:r>
      <w:r w:rsidR="00515E8D">
        <w:rPr>
          <w:rFonts w:cstheme="minorHAnsi"/>
          <w:sz w:val="26"/>
          <w:szCs w:val="26"/>
        </w:rPr>
        <w:t>du cursus.</w:t>
      </w:r>
      <w:r w:rsidR="00671938">
        <w:rPr>
          <w:rFonts w:cstheme="minorHAnsi"/>
          <w:sz w:val="26"/>
          <w:szCs w:val="26"/>
        </w:rPr>
        <w:t xml:space="preserve"> </w:t>
      </w:r>
    </w:p>
    <w:p w:rsidR="00BF10D5" w:rsidRPr="00BF10D5" w:rsidRDefault="00BF10D5" w:rsidP="00C30A67">
      <w:pPr>
        <w:pStyle w:val="Paragraphedeliste"/>
        <w:spacing w:after="120"/>
        <w:rPr>
          <w:rFonts w:cstheme="minorHAnsi"/>
          <w:sz w:val="26"/>
          <w:szCs w:val="26"/>
        </w:rPr>
      </w:pPr>
    </w:p>
    <w:p w:rsidR="00AC0B42" w:rsidRDefault="00C83428" w:rsidP="00C30A67">
      <w:pPr>
        <w:pStyle w:val="Paragraphedeliste"/>
        <w:numPr>
          <w:ilvl w:val="0"/>
          <w:numId w:val="2"/>
        </w:numPr>
        <w:spacing w:after="120"/>
        <w:ind w:left="284" w:right="-2" w:hanging="284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</w:t>
      </w:r>
      <w:r w:rsidR="00BF10D5" w:rsidRPr="00BF10D5">
        <w:rPr>
          <w:rFonts w:cstheme="minorHAnsi"/>
          <w:sz w:val="26"/>
          <w:szCs w:val="26"/>
        </w:rPr>
        <w:t>u-delà de la 6eme inscription, l’étudiant</w:t>
      </w:r>
      <w:r w:rsidR="00BF10D5">
        <w:rPr>
          <w:rFonts w:cstheme="minorHAnsi"/>
          <w:sz w:val="26"/>
          <w:szCs w:val="26"/>
        </w:rPr>
        <w:t xml:space="preserve"> </w:t>
      </w:r>
      <w:r w:rsidR="009B00B5" w:rsidRPr="00AC0B42">
        <w:rPr>
          <w:rFonts w:cstheme="minorHAnsi"/>
          <w:sz w:val="26"/>
          <w:szCs w:val="26"/>
        </w:rPr>
        <w:t>ayant capitalisé 1</w:t>
      </w:r>
      <w:r w:rsidR="009B00B5">
        <w:rPr>
          <w:rFonts w:cstheme="minorHAnsi"/>
          <w:sz w:val="26"/>
          <w:szCs w:val="26"/>
        </w:rPr>
        <w:t>5</w:t>
      </w:r>
      <w:r w:rsidR="009B00B5" w:rsidRPr="00AC0B42">
        <w:rPr>
          <w:rFonts w:cstheme="minorHAnsi"/>
          <w:sz w:val="26"/>
          <w:szCs w:val="26"/>
        </w:rPr>
        <w:t>0 crédits</w:t>
      </w:r>
      <w:r w:rsidR="009B00B5" w:rsidRPr="00BF10D5">
        <w:rPr>
          <w:rFonts w:cstheme="minorHAnsi"/>
          <w:sz w:val="26"/>
          <w:szCs w:val="26"/>
        </w:rPr>
        <w:t xml:space="preserve"> </w:t>
      </w:r>
      <w:r w:rsidR="00BF10D5" w:rsidRPr="00BF10D5">
        <w:rPr>
          <w:rFonts w:cstheme="minorHAnsi"/>
          <w:sz w:val="26"/>
          <w:szCs w:val="26"/>
        </w:rPr>
        <w:t xml:space="preserve">peut bénéficier d’une inscription académique </w:t>
      </w:r>
      <w:r w:rsidR="00BF10D5">
        <w:rPr>
          <w:rFonts w:cstheme="minorHAnsi"/>
          <w:sz w:val="26"/>
          <w:szCs w:val="26"/>
        </w:rPr>
        <w:t>pour</w:t>
      </w:r>
      <w:r w:rsidR="00BF10D5" w:rsidRPr="00BF10D5">
        <w:rPr>
          <w:rFonts w:cstheme="minorHAnsi"/>
          <w:sz w:val="26"/>
          <w:szCs w:val="26"/>
        </w:rPr>
        <w:t xml:space="preserve"> se présenter uniquement aux examens.</w:t>
      </w:r>
    </w:p>
    <w:p w:rsidR="009B00B5" w:rsidRPr="009B00B5" w:rsidRDefault="009B00B5" w:rsidP="00C30A67">
      <w:pPr>
        <w:spacing w:after="120"/>
        <w:ind w:right="-2"/>
        <w:jc w:val="both"/>
        <w:rPr>
          <w:rFonts w:cstheme="minorHAnsi"/>
          <w:sz w:val="26"/>
          <w:szCs w:val="26"/>
        </w:rPr>
      </w:pPr>
    </w:p>
    <w:p w:rsidR="00CF0CC6" w:rsidRPr="00AC0B42" w:rsidRDefault="006A36F1" w:rsidP="00C30A67">
      <w:pPr>
        <w:pStyle w:val="Paragraphedeliste"/>
        <w:numPr>
          <w:ilvl w:val="0"/>
          <w:numId w:val="2"/>
        </w:numPr>
        <w:spacing w:after="120"/>
        <w:ind w:left="284" w:right="-2" w:hanging="284"/>
        <w:jc w:val="both"/>
        <w:rPr>
          <w:rFonts w:cstheme="minorHAnsi"/>
          <w:sz w:val="26"/>
          <w:szCs w:val="26"/>
        </w:rPr>
      </w:pPr>
      <w:r w:rsidRPr="00AC0B42">
        <w:rPr>
          <w:rFonts w:cstheme="minorHAnsi"/>
          <w:sz w:val="26"/>
          <w:szCs w:val="26"/>
        </w:rPr>
        <w:t>L’acquisition de la 2</w:t>
      </w:r>
      <w:r w:rsidRPr="00AC0B42">
        <w:rPr>
          <w:rFonts w:cstheme="minorHAnsi"/>
          <w:sz w:val="26"/>
          <w:szCs w:val="26"/>
          <w:vertAlign w:val="superscript"/>
        </w:rPr>
        <w:t>ème</w:t>
      </w:r>
      <w:r w:rsidRPr="00AC0B42">
        <w:rPr>
          <w:rFonts w:cstheme="minorHAnsi"/>
          <w:sz w:val="26"/>
          <w:szCs w:val="26"/>
        </w:rPr>
        <w:t xml:space="preserve"> année Master se fait sans compensation.</w:t>
      </w:r>
    </w:p>
    <w:p w:rsidR="00AC0B42" w:rsidRPr="00AC0B42" w:rsidRDefault="00AC0B42" w:rsidP="00C30A67">
      <w:pPr>
        <w:pStyle w:val="Paragraphedeliste"/>
        <w:spacing w:after="120"/>
        <w:rPr>
          <w:rFonts w:cstheme="minorHAnsi"/>
          <w:sz w:val="26"/>
          <w:szCs w:val="26"/>
        </w:rPr>
      </w:pPr>
    </w:p>
    <w:p w:rsidR="006A36F1" w:rsidRPr="00BF10D5" w:rsidRDefault="00CF0CC6" w:rsidP="00C30A67">
      <w:pPr>
        <w:pStyle w:val="Paragraphedeliste"/>
        <w:numPr>
          <w:ilvl w:val="0"/>
          <w:numId w:val="2"/>
        </w:numPr>
        <w:spacing w:after="120"/>
        <w:ind w:left="284" w:right="-2" w:hanging="284"/>
        <w:jc w:val="both"/>
        <w:rPr>
          <w:rFonts w:cstheme="minorHAnsi"/>
          <w:sz w:val="26"/>
          <w:szCs w:val="26"/>
        </w:rPr>
      </w:pPr>
      <w:r w:rsidRPr="00BF10D5">
        <w:rPr>
          <w:rFonts w:cstheme="minorHAnsi"/>
          <w:sz w:val="26"/>
          <w:szCs w:val="26"/>
        </w:rPr>
        <w:t>Si l’étudiant n’a pas acquis 120 crédits durant les trois anné</w:t>
      </w:r>
      <w:r w:rsidR="00BF10D5" w:rsidRPr="00BF10D5">
        <w:rPr>
          <w:rFonts w:cstheme="minorHAnsi"/>
          <w:sz w:val="26"/>
          <w:szCs w:val="26"/>
        </w:rPr>
        <w:t xml:space="preserve">es de </w:t>
      </w:r>
      <w:r w:rsidR="00BF10D5">
        <w:rPr>
          <w:rFonts w:cstheme="minorHAnsi"/>
          <w:sz w:val="26"/>
          <w:szCs w:val="26"/>
        </w:rPr>
        <w:t>Master, il</w:t>
      </w:r>
      <w:r w:rsidR="00BF10D5" w:rsidRPr="00BF10D5">
        <w:rPr>
          <w:rFonts w:cstheme="minorHAnsi"/>
          <w:sz w:val="26"/>
          <w:szCs w:val="26"/>
        </w:rPr>
        <w:t xml:space="preserve"> peut bénéficier d’une inscription académique </w:t>
      </w:r>
      <w:r w:rsidR="00BF10D5">
        <w:rPr>
          <w:rFonts w:cstheme="minorHAnsi"/>
          <w:sz w:val="26"/>
          <w:szCs w:val="26"/>
        </w:rPr>
        <w:t>pour</w:t>
      </w:r>
      <w:r w:rsidR="00BF10D5" w:rsidRPr="00BF10D5">
        <w:rPr>
          <w:rFonts w:cstheme="minorHAnsi"/>
          <w:sz w:val="26"/>
          <w:szCs w:val="26"/>
        </w:rPr>
        <w:t xml:space="preserve"> se présenter uniquement aux examens et à la soutenance du</w:t>
      </w:r>
      <w:r w:rsidR="00BF10D5">
        <w:rPr>
          <w:rFonts w:cstheme="minorHAnsi"/>
          <w:sz w:val="26"/>
          <w:szCs w:val="26"/>
        </w:rPr>
        <w:t xml:space="preserve"> </w:t>
      </w:r>
      <w:r w:rsidR="00BF10D5" w:rsidRPr="00BF10D5">
        <w:rPr>
          <w:rFonts w:cstheme="minorHAnsi"/>
          <w:sz w:val="26"/>
          <w:szCs w:val="26"/>
        </w:rPr>
        <w:t>mémoire de fin d’études</w:t>
      </w:r>
      <w:r w:rsidR="00175AF8">
        <w:rPr>
          <w:rFonts w:cstheme="minorHAnsi"/>
          <w:sz w:val="26"/>
          <w:szCs w:val="26"/>
        </w:rPr>
        <w:t xml:space="preserve"> à condition d’avoir </w:t>
      </w:r>
      <w:r w:rsidR="00175AF8" w:rsidRPr="00AC0B42">
        <w:rPr>
          <w:rFonts w:cstheme="minorHAnsi"/>
          <w:sz w:val="26"/>
          <w:szCs w:val="26"/>
        </w:rPr>
        <w:t xml:space="preserve">capitalisé </w:t>
      </w:r>
      <w:r w:rsidR="00175AF8">
        <w:rPr>
          <w:rFonts w:cstheme="minorHAnsi"/>
          <w:sz w:val="26"/>
          <w:szCs w:val="26"/>
        </w:rPr>
        <w:t>90</w:t>
      </w:r>
      <w:r w:rsidR="00175AF8" w:rsidRPr="00AC0B42">
        <w:rPr>
          <w:rFonts w:cstheme="minorHAnsi"/>
          <w:sz w:val="26"/>
          <w:szCs w:val="26"/>
        </w:rPr>
        <w:t xml:space="preserve"> crédits</w:t>
      </w:r>
      <w:r w:rsidR="00BF10D5" w:rsidRPr="00BF10D5">
        <w:rPr>
          <w:rFonts w:cstheme="minorHAnsi"/>
          <w:sz w:val="26"/>
          <w:szCs w:val="26"/>
        </w:rPr>
        <w:t>.</w:t>
      </w:r>
      <w:r w:rsidR="006A36F1" w:rsidRPr="00BF10D5">
        <w:rPr>
          <w:rFonts w:cstheme="minorHAnsi"/>
          <w:sz w:val="26"/>
          <w:szCs w:val="26"/>
        </w:rPr>
        <w:t xml:space="preserve">   </w:t>
      </w:r>
    </w:p>
    <w:p w:rsidR="00CF0CC6" w:rsidRPr="00A20720" w:rsidRDefault="00CF0CC6" w:rsidP="00195022">
      <w:pPr>
        <w:spacing w:after="240"/>
        <w:ind w:right="-2" w:firstLine="142"/>
        <w:jc w:val="center"/>
        <w:rPr>
          <w:rFonts w:eastAsia="Times New Roman" w:cstheme="minorHAnsi"/>
          <w:b/>
          <w:bCs/>
          <w:color w:val="222222"/>
          <w:sz w:val="26"/>
          <w:szCs w:val="26"/>
          <w:u w:val="single"/>
          <w:lang w:eastAsia="fr-FR"/>
        </w:rPr>
      </w:pPr>
      <w:r w:rsidRPr="00A20720">
        <w:rPr>
          <w:rFonts w:eastAsia="Times New Roman" w:cstheme="minorHAnsi"/>
          <w:b/>
          <w:bCs/>
          <w:color w:val="222222"/>
          <w:sz w:val="26"/>
          <w:szCs w:val="26"/>
          <w:u w:val="single"/>
          <w:lang w:eastAsia="fr-FR"/>
        </w:rPr>
        <w:t>Progression dans la formation Ingénieur</w:t>
      </w:r>
      <w:r w:rsidR="00157DF2">
        <w:rPr>
          <w:rFonts w:eastAsia="Times New Roman" w:cstheme="minorHAnsi"/>
          <w:b/>
          <w:bCs/>
          <w:color w:val="222222"/>
          <w:sz w:val="26"/>
          <w:szCs w:val="26"/>
          <w:u w:val="single"/>
          <w:lang w:eastAsia="fr-FR"/>
        </w:rPr>
        <w:t xml:space="preserve"> et Architect</w:t>
      </w:r>
    </w:p>
    <w:p w:rsidR="00CF0CC6" w:rsidRDefault="00CF0CC6" w:rsidP="00C30A67">
      <w:pPr>
        <w:pStyle w:val="Paragraphedeliste"/>
        <w:numPr>
          <w:ilvl w:val="0"/>
          <w:numId w:val="3"/>
        </w:numPr>
        <w:ind w:left="284" w:right="-2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Une note éliminatoire de </w:t>
      </w:r>
      <w:r w:rsidRPr="00C30A67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05/20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est imposée dans toutes les matières.</w:t>
      </w:r>
    </w:p>
    <w:p w:rsidR="00C30A67" w:rsidRPr="00C30A67" w:rsidRDefault="00C30A67" w:rsidP="00C30A67">
      <w:pPr>
        <w:ind w:right="-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157DF2" w:rsidRDefault="00157DF2" w:rsidP="00C30A67">
      <w:pPr>
        <w:pStyle w:val="Paragraphedeliste"/>
        <w:numPr>
          <w:ilvl w:val="0"/>
          <w:numId w:val="3"/>
        </w:numPr>
        <w:ind w:left="284" w:right="-2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Une note éliminatoire de </w:t>
      </w:r>
      <w:r w:rsidRPr="00C30A67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10/20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est imposée dans la matière atelier pour les Architectes.</w:t>
      </w:r>
    </w:p>
    <w:p w:rsidR="00C30A67" w:rsidRPr="00C30A67" w:rsidRDefault="00C30A67" w:rsidP="00C30A67">
      <w:pPr>
        <w:ind w:right="-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C30A67" w:rsidRPr="00C30A67" w:rsidRDefault="00CF0CC6" w:rsidP="00C30A67">
      <w:pPr>
        <w:pStyle w:val="Paragraphedeliste"/>
        <w:numPr>
          <w:ilvl w:val="0"/>
          <w:numId w:val="3"/>
        </w:numPr>
        <w:spacing w:after="240"/>
        <w:ind w:left="284" w:right="-2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>Le passage de la 1</w:t>
      </w:r>
      <w:r w:rsidRPr="00C30A67">
        <w:rPr>
          <w:rFonts w:eastAsia="Times New Roman" w:cstheme="minorHAnsi"/>
          <w:color w:val="222222"/>
          <w:sz w:val="26"/>
          <w:szCs w:val="26"/>
          <w:vertAlign w:val="superscript"/>
          <w:lang w:eastAsia="fr-FR"/>
        </w:rPr>
        <w:t>ère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année à la 2</w:t>
      </w:r>
      <w:r w:rsidRPr="00C30A67">
        <w:rPr>
          <w:rFonts w:eastAsia="Times New Roman" w:cstheme="minorHAnsi"/>
          <w:color w:val="222222"/>
          <w:sz w:val="26"/>
          <w:szCs w:val="26"/>
          <w:vertAlign w:val="superscript"/>
          <w:lang w:eastAsia="fr-FR"/>
        </w:rPr>
        <w:t>ème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année ingénieur est autorisé si l’étudiant a obtenu une moyenne générale supérieure ou égale à </w:t>
      </w:r>
      <w:r w:rsidRPr="00C30A67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10/20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avec compensation et sans note éliminatoire.</w:t>
      </w:r>
    </w:p>
    <w:p w:rsidR="00CF0CC6" w:rsidRDefault="008277B3" w:rsidP="00C30A67">
      <w:pPr>
        <w:pStyle w:val="Paragraphedeliste"/>
        <w:numPr>
          <w:ilvl w:val="0"/>
          <w:numId w:val="3"/>
        </w:numPr>
        <w:spacing w:after="240"/>
        <w:ind w:left="284" w:right="-2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C30A67">
        <w:rPr>
          <w:rFonts w:cstheme="minorHAnsi"/>
          <w:sz w:val="26"/>
          <w:szCs w:val="26"/>
        </w:rPr>
        <w:lastRenderedPageBreak/>
        <w:t xml:space="preserve">L’étudiant est autorisé à passer l’examen de rattrapage </w:t>
      </w:r>
      <w:r w:rsidR="00157DF2" w:rsidRPr="00C30A67">
        <w:rPr>
          <w:rFonts w:cstheme="minorHAnsi"/>
          <w:sz w:val="26"/>
          <w:szCs w:val="26"/>
        </w:rPr>
        <w:t xml:space="preserve">dans toutes les matières non acquises </w:t>
      </w:r>
      <w:r w:rsidRPr="00C30A67">
        <w:rPr>
          <w:rFonts w:cstheme="minorHAnsi"/>
          <w:sz w:val="26"/>
          <w:szCs w:val="26"/>
        </w:rPr>
        <w:t xml:space="preserve">s’il a une moyenne générale inférieure à </w:t>
      </w:r>
      <w:r w:rsidRPr="00C30A67">
        <w:rPr>
          <w:rFonts w:cstheme="minorHAnsi"/>
          <w:b/>
          <w:bCs/>
          <w:sz w:val="26"/>
          <w:szCs w:val="26"/>
        </w:rPr>
        <w:t xml:space="preserve">10/20 </w:t>
      </w:r>
      <w:r w:rsidRPr="00C30A67">
        <w:rPr>
          <w:rFonts w:cstheme="minorHAnsi"/>
          <w:sz w:val="26"/>
          <w:szCs w:val="26"/>
        </w:rPr>
        <w:t>ou une</w:t>
      </w:r>
      <w:r w:rsidRPr="00C30A67">
        <w:rPr>
          <w:rFonts w:eastAsia="Times New Roman" w:cstheme="minorHAnsi"/>
          <w:color w:val="222222"/>
          <w:sz w:val="26"/>
          <w:szCs w:val="26"/>
          <w:lang w:eastAsia="fr-FR"/>
        </w:rPr>
        <w:t xml:space="preserve"> note éliminatoire.</w:t>
      </w:r>
    </w:p>
    <w:p w:rsidR="00C30A67" w:rsidRDefault="00C30A67" w:rsidP="00C30A67">
      <w:pPr>
        <w:pStyle w:val="Paragraphedeliste"/>
        <w:spacing w:after="240"/>
        <w:ind w:left="284" w:right="-2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</w:p>
    <w:p w:rsidR="00C30A67" w:rsidRPr="00C30A67" w:rsidRDefault="00C30A67" w:rsidP="00C30A67">
      <w:pPr>
        <w:pStyle w:val="Paragraphedeliste"/>
        <w:numPr>
          <w:ilvl w:val="0"/>
          <w:numId w:val="3"/>
        </w:numPr>
        <w:spacing w:after="240"/>
        <w:ind w:left="284" w:right="-2" w:hanging="284"/>
        <w:jc w:val="both"/>
        <w:rPr>
          <w:rFonts w:eastAsia="Times New Roman" w:cstheme="minorHAnsi"/>
          <w:color w:val="222222"/>
          <w:sz w:val="26"/>
          <w:szCs w:val="26"/>
          <w:lang w:eastAsia="fr-FR"/>
        </w:rPr>
      </w:pPr>
      <w:r w:rsidRPr="00C30A67">
        <w:rPr>
          <w:rFonts w:cstheme="minorHAnsi"/>
          <w:sz w:val="26"/>
          <w:szCs w:val="26"/>
        </w:rPr>
        <w:t xml:space="preserve">L’étudiant </w:t>
      </w:r>
      <w:r>
        <w:rPr>
          <w:rFonts w:cstheme="minorHAnsi"/>
          <w:sz w:val="26"/>
          <w:szCs w:val="26"/>
        </w:rPr>
        <w:t xml:space="preserve">répétitif </w:t>
      </w:r>
      <w:r w:rsidRPr="00C30A67">
        <w:rPr>
          <w:rFonts w:cstheme="minorHAnsi"/>
          <w:sz w:val="26"/>
          <w:szCs w:val="26"/>
        </w:rPr>
        <w:t xml:space="preserve">est autorisé à passer </w:t>
      </w:r>
      <w:r>
        <w:rPr>
          <w:rFonts w:cstheme="minorHAnsi"/>
          <w:sz w:val="26"/>
          <w:szCs w:val="26"/>
        </w:rPr>
        <w:t>l’</w:t>
      </w:r>
      <w:r w:rsidRPr="00C30A67">
        <w:rPr>
          <w:rFonts w:cstheme="minorHAnsi"/>
          <w:sz w:val="26"/>
          <w:szCs w:val="26"/>
        </w:rPr>
        <w:t xml:space="preserve">examen dans </w:t>
      </w:r>
      <w:r>
        <w:rPr>
          <w:rFonts w:cstheme="minorHAnsi"/>
          <w:sz w:val="26"/>
          <w:szCs w:val="26"/>
        </w:rPr>
        <w:t>la matière</w:t>
      </w:r>
      <w:r w:rsidRPr="00C30A67">
        <w:rPr>
          <w:rFonts w:cstheme="minorHAnsi"/>
          <w:sz w:val="26"/>
          <w:szCs w:val="26"/>
        </w:rPr>
        <w:t xml:space="preserve"> non acquise 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appartenant à l'unité 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non 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 xml:space="preserve">acquise </w:t>
      </w: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et le semestre non </w:t>
      </w:r>
      <w:r w:rsidRPr="00AC0B42">
        <w:rPr>
          <w:rFonts w:eastAsia="Times New Roman" w:cstheme="minorHAnsi"/>
          <w:color w:val="222222"/>
          <w:sz w:val="26"/>
          <w:szCs w:val="26"/>
          <w:lang w:eastAsia="fr-FR"/>
        </w:rPr>
        <w:t>acquis.</w:t>
      </w:r>
    </w:p>
    <w:p w:rsidR="00552805" w:rsidRPr="00552805" w:rsidRDefault="00552805" w:rsidP="00552805">
      <w:pPr>
        <w:pStyle w:val="Paragraphedeliste"/>
        <w:shd w:val="clear" w:color="auto" w:fill="FFFFFF"/>
        <w:spacing w:after="240" w:line="240" w:lineRule="auto"/>
        <w:ind w:left="284" w:right="0"/>
        <w:jc w:val="both"/>
        <w:rPr>
          <w:rFonts w:eastAsia="Times New Roman" w:cstheme="minorHAnsi"/>
          <w:b/>
          <w:bCs/>
          <w:color w:val="222222"/>
          <w:sz w:val="32"/>
          <w:szCs w:val="32"/>
          <w:u w:val="single"/>
          <w:lang w:eastAsia="fr-FR"/>
        </w:rPr>
      </w:pPr>
    </w:p>
    <w:p w:rsidR="008277B3" w:rsidRDefault="008277B3" w:rsidP="00EE29FC">
      <w:pPr>
        <w:spacing w:after="240"/>
        <w:ind w:right="-2"/>
        <w:jc w:val="both"/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</w:pPr>
      <w:r w:rsidRPr="00A75A83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 xml:space="preserve">Pour toute autre précision, veuillez consulter les arrêtés </w:t>
      </w:r>
      <w:r w:rsidR="00D71D5A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1</w:t>
      </w:r>
      <w:r w:rsidR="00EE29FC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164</w:t>
      </w:r>
      <w:r w:rsidR="00F111F8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 xml:space="preserve"> et</w:t>
      </w:r>
      <w:r w:rsidRPr="00A75A83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 xml:space="preserve"> </w:t>
      </w:r>
      <w:r w:rsidR="00EE29FC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1165</w:t>
      </w:r>
      <w:r w:rsidRPr="00A75A83"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  <w:t>.</w:t>
      </w:r>
    </w:p>
    <w:p w:rsidR="00D71D5A" w:rsidRDefault="00D71D5A" w:rsidP="00D71D5A">
      <w:pPr>
        <w:spacing w:after="240"/>
        <w:ind w:right="-2"/>
        <w:jc w:val="both"/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</w:pPr>
    </w:p>
    <w:p w:rsidR="001E0CF9" w:rsidRPr="00EE29FC" w:rsidRDefault="001E0CF9" w:rsidP="00D75884">
      <w:pPr>
        <w:spacing w:after="240"/>
        <w:ind w:right="-2"/>
        <w:jc w:val="center"/>
        <w:rPr>
          <w:rFonts w:eastAsia="Times New Roman" w:cstheme="minorHAnsi"/>
          <w:b/>
          <w:bCs/>
          <w:color w:val="222222"/>
          <w:sz w:val="26"/>
          <w:szCs w:val="26"/>
          <w:lang w:eastAsia="fr-FR"/>
        </w:rPr>
      </w:pPr>
      <w:r>
        <w:rPr>
          <w:rFonts w:eastAsia="Times New Roman" w:cstheme="minorHAnsi"/>
          <w:color w:val="222222"/>
          <w:sz w:val="26"/>
          <w:szCs w:val="26"/>
          <w:lang w:eastAsia="fr-FR"/>
        </w:rPr>
        <w:t xml:space="preserve">                                                                                            </w:t>
      </w:r>
      <w:r w:rsidR="00D71D5A" w:rsidRPr="00EE29FC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Le vice-doyen</w:t>
      </w:r>
    </w:p>
    <w:sectPr w:rsidR="001E0CF9" w:rsidRPr="00EE29FC" w:rsidSect="00195022">
      <w:pgSz w:w="11906" w:h="16838" w:code="9"/>
      <w:pgMar w:top="851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16D"/>
    <w:multiLevelType w:val="hybridMultilevel"/>
    <w:tmpl w:val="0180D780"/>
    <w:lvl w:ilvl="0" w:tplc="DE88871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BB23A9C"/>
    <w:multiLevelType w:val="hybridMultilevel"/>
    <w:tmpl w:val="52EEC6AC"/>
    <w:lvl w:ilvl="0" w:tplc="54DAB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F436F"/>
    <w:multiLevelType w:val="hybridMultilevel"/>
    <w:tmpl w:val="8DF8E394"/>
    <w:lvl w:ilvl="0" w:tplc="DE88871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07978"/>
    <w:rsid w:val="00041368"/>
    <w:rsid w:val="0006758F"/>
    <w:rsid w:val="000746E7"/>
    <w:rsid w:val="00075FBB"/>
    <w:rsid w:val="000E5E52"/>
    <w:rsid w:val="000F37DA"/>
    <w:rsid w:val="00157DF2"/>
    <w:rsid w:val="00175AF8"/>
    <w:rsid w:val="00195022"/>
    <w:rsid w:val="001B4EFC"/>
    <w:rsid w:val="001B6EF8"/>
    <w:rsid w:val="001E0CF9"/>
    <w:rsid w:val="00221D6D"/>
    <w:rsid w:val="00247C15"/>
    <w:rsid w:val="00365F50"/>
    <w:rsid w:val="003B6C93"/>
    <w:rsid w:val="00413FED"/>
    <w:rsid w:val="00447C3D"/>
    <w:rsid w:val="004D3CC6"/>
    <w:rsid w:val="00515E8D"/>
    <w:rsid w:val="00552805"/>
    <w:rsid w:val="00570724"/>
    <w:rsid w:val="005F4D12"/>
    <w:rsid w:val="00600E22"/>
    <w:rsid w:val="0060515C"/>
    <w:rsid w:val="00636FD3"/>
    <w:rsid w:val="00650065"/>
    <w:rsid w:val="00671938"/>
    <w:rsid w:val="006969DA"/>
    <w:rsid w:val="006A36F1"/>
    <w:rsid w:val="006A4EAA"/>
    <w:rsid w:val="00776D18"/>
    <w:rsid w:val="007B3999"/>
    <w:rsid w:val="008277B3"/>
    <w:rsid w:val="00891AE5"/>
    <w:rsid w:val="009B00B5"/>
    <w:rsid w:val="009B0B75"/>
    <w:rsid w:val="009F6615"/>
    <w:rsid w:val="00A002A6"/>
    <w:rsid w:val="00A20720"/>
    <w:rsid w:val="00A727C9"/>
    <w:rsid w:val="00A75A83"/>
    <w:rsid w:val="00AC0B42"/>
    <w:rsid w:val="00AF71AA"/>
    <w:rsid w:val="00B07978"/>
    <w:rsid w:val="00B27FA2"/>
    <w:rsid w:val="00B351F5"/>
    <w:rsid w:val="00B362A0"/>
    <w:rsid w:val="00B82A4B"/>
    <w:rsid w:val="00BB326E"/>
    <w:rsid w:val="00BF10D5"/>
    <w:rsid w:val="00BF29BB"/>
    <w:rsid w:val="00C30A67"/>
    <w:rsid w:val="00C83428"/>
    <w:rsid w:val="00CF0CC6"/>
    <w:rsid w:val="00D71D5A"/>
    <w:rsid w:val="00D75884"/>
    <w:rsid w:val="00D77723"/>
    <w:rsid w:val="00D80648"/>
    <w:rsid w:val="00DF3EFB"/>
    <w:rsid w:val="00E0525D"/>
    <w:rsid w:val="00EE29FC"/>
    <w:rsid w:val="00EF49C1"/>
    <w:rsid w:val="00F111F8"/>
    <w:rsid w:val="00F263B7"/>
    <w:rsid w:val="00F96864"/>
    <w:rsid w:val="00FD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2025-11-04T17:44:00Z</dcterms:created>
  <dcterms:modified xsi:type="dcterms:W3CDTF">2025-11-04T21:18:00Z</dcterms:modified>
</cp:coreProperties>
</file>