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029" w:type="dxa"/>
        <w:jc w:val="center"/>
        <w:tblCellMar>
          <w:left w:w="70" w:type="dxa"/>
          <w:right w:w="70" w:type="dxa"/>
        </w:tblCellMar>
        <w:tblLook w:val="04A0"/>
      </w:tblPr>
      <w:tblGrid>
        <w:gridCol w:w="3588"/>
        <w:gridCol w:w="2277"/>
        <w:gridCol w:w="4112"/>
        <w:gridCol w:w="52"/>
      </w:tblGrid>
      <w:tr w:rsidR="0095221C" w:rsidRPr="0095221C" w:rsidTr="0095221C">
        <w:trPr>
          <w:cantSplit/>
          <w:trHeight w:val="80"/>
          <w:jc w:val="center"/>
        </w:trPr>
        <w:tc>
          <w:tcPr>
            <w:tcW w:w="10029" w:type="dxa"/>
            <w:gridSpan w:val="4"/>
            <w:hideMark/>
          </w:tcPr>
          <w:p w:rsidR="0095221C" w:rsidRPr="0095221C" w:rsidRDefault="0095221C" w:rsidP="0095221C">
            <w:pPr>
              <w:keepNext/>
              <w:bidi/>
              <w:spacing w:after="0"/>
              <w:jc w:val="center"/>
              <w:outlineLvl w:val="1"/>
              <w:rPr>
                <w:rFonts w:asciiTheme="majorBidi" w:eastAsia="Times New Roman" w:hAnsiTheme="majorBidi" w:cstheme="majorBidi"/>
                <w:i/>
                <w:noProof/>
                <w:sz w:val="24"/>
                <w:szCs w:val="24"/>
                <w:rtl/>
                <w:lang w:val="en-US" w:bidi="ar-DZ"/>
              </w:rPr>
            </w:pPr>
            <w:r w:rsidRPr="0095221C">
              <w:rPr>
                <w:rFonts w:asciiTheme="majorBidi" w:eastAsia="Times New Roman" w:hAnsiTheme="majorBidi" w:cstheme="majorBidi" w:hint="cs"/>
                <w:i/>
                <w:noProof/>
                <w:sz w:val="24"/>
                <w:szCs w:val="24"/>
                <w:rtl/>
                <w:lang w:val="en-US" w:bidi="ar-DZ"/>
              </w:rPr>
              <w:t>وزارة التعليم العالي والبحث العلمي</w:t>
            </w:r>
          </w:p>
          <w:p w:rsidR="0095221C" w:rsidRPr="0095221C" w:rsidRDefault="0095221C" w:rsidP="0095221C">
            <w:pPr>
              <w:keepNext/>
              <w:bidi/>
              <w:spacing w:after="0"/>
              <w:jc w:val="center"/>
              <w:outlineLvl w:val="1"/>
              <w:rPr>
                <w:rFonts w:asciiTheme="majorBidi" w:eastAsia="Times New Roman" w:hAnsiTheme="majorBidi" w:cstheme="majorBidi" w:hint="cs"/>
                <w:iCs/>
                <w:smallCaps/>
                <w:noProof/>
                <w:sz w:val="24"/>
                <w:szCs w:val="24"/>
                <w:rtl/>
                <w:lang w:val="en-US" w:bidi="ar-DZ"/>
              </w:rPr>
            </w:pPr>
            <w:r w:rsidRPr="0095221C">
              <w:rPr>
                <w:rFonts w:asciiTheme="majorBidi" w:eastAsia="Times New Roman" w:hAnsiTheme="majorBidi" w:cstheme="majorBidi"/>
                <w:iCs/>
                <w:smallCaps/>
                <w:noProof/>
                <w:sz w:val="24"/>
                <w:szCs w:val="24"/>
                <w:lang w:val="en-US" w:bidi="ar-DZ"/>
              </w:rPr>
              <w:t>Ministère de l’Enseignement Superieur et de la Recherche Scientifique</w:t>
            </w:r>
          </w:p>
          <w:p w:rsidR="0095221C" w:rsidRPr="0095221C" w:rsidRDefault="0095221C" w:rsidP="0095221C">
            <w:pPr>
              <w:keepNext/>
              <w:bidi/>
              <w:spacing w:after="0" w:line="240" w:lineRule="exact"/>
              <w:jc w:val="center"/>
              <w:outlineLvl w:val="1"/>
              <w:rPr>
                <w:rFonts w:asciiTheme="majorBidi" w:eastAsia="Times New Roman" w:hAnsiTheme="majorBidi" w:cstheme="majorBidi"/>
                <w:iCs/>
                <w:smallCaps/>
                <w:noProof/>
                <w:sz w:val="20"/>
                <w:szCs w:val="20"/>
                <w:lang w:val="en-US" w:bidi="ar-DZ"/>
              </w:rPr>
            </w:pPr>
            <w:r w:rsidRPr="0095221C">
              <w:rPr>
                <w:rFonts w:ascii="Ebrima" w:eastAsia="Times New Roman" w:hAnsi="Ebrima" w:cstheme="majorBidi"/>
                <w:iCs/>
                <w:smallCaps/>
                <w:noProof/>
                <w:sz w:val="20"/>
                <w:szCs w:val="20"/>
                <w:lang w:val="en-US" w:bidi="ar-DZ"/>
              </w:rPr>
              <w:t>ⴰⵖⵍⵉⴼⵏⵓⵙⴻⵍⵎⴻⴸⵓⵏⵏⵉⴴⴴⵓⵏⴰⴸⵉⵓⵙⵏⴰⵏ</w:t>
            </w:r>
          </w:p>
          <w:p w:rsidR="0095221C" w:rsidRPr="0095221C" w:rsidRDefault="0095221C" w:rsidP="0095221C">
            <w:pPr>
              <w:keepNext/>
              <w:bidi/>
              <w:spacing w:after="0" w:line="240" w:lineRule="exact"/>
              <w:jc w:val="center"/>
              <w:outlineLvl w:val="1"/>
              <w:rPr>
                <w:rFonts w:asciiTheme="majorBidi" w:eastAsia="Times New Roman" w:hAnsiTheme="majorBidi" w:cstheme="majorBidi"/>
                <w:iCs/>
                <w:smallCaps/>
                <w:noProof/>
                <w:sz w:val="20"/>
                <w:szCs w:val="20"/>
                <w:lang w:val="en-US" w:bidi="ar-DZ"/>
              </w:rPr>
            </w:pPr>
            <w:r w:rsidRPr="0095221C">
              <w:rPr>
                <w:rFonts w:ascii="Ebrima" w:eastAsia="Times New Roman" w:hAnsi="Ebrima" w:cstheme="majorBidi"/>
                <w:iCs/>
                <w:smallCaps/>
                <w:noProof/>
                <w:sz w:val="20"/>
                <w:szCs w:val="20"/>
                <w:lang w:val="en-US" w:bidi="ar-DZ"/>
              </w:rPr>
              <w:t>ⵝⴰⵙⴸⴰⵡⵉⵝⵏⵍⵎⵓⵍⵓⴸⴰⵝⵎⵄⴻⵎⵎⴻⵕⵏⵝⵉⵣⵉⵓⵣⵣⵓ</w:t>
            </w:r>
          </w:p>
          <w:p w:rsidR="0095221C" w:rsidRPr="0095221C" w:rsidRDefault="0095221C" w:rsidP="0095221C">
            <w:pPr>
              <w:keepNext/>
              <w:bidi/>
              <w:spacing w:after="0" w:line="240" w:lineRule="exact"/>
              <w:jc w:val="center"/>
              <w:outlineLvl w:val="1"/>
              <w:rPr>
                <w:rFonts w:asciiTheme="majorBidi" w:eastAsia="Times New Roman" w:hAnsiTheme="majorBidi" w:cstheme="majorBidi"/>
                <w:iCs/>
                <w:smallCaps/>
                <w:noProof/>
                <w:sz w:val="24"/>
                <w:szCs w:val="24"/>
                <w:lang w:val="en-US" w:bidi="ar-DZ"/>
              </w:rPr>
            </w:pPr>
            <w:r w:rsidRPr="0095221C">
              <w:rPr>
                <w:rFonts w:ascii="Ebrima" w:eastAsia="Times New Roman" w:hAnsi="Ebrima" w:cstheme="majorBidi"/>
                <w:iCs/>
                <w:smallCaps/>
                <w:noProof/>
                <w:sz w:val="20"/>
                <w:szCs w:val="20"/>
                <w:lang w:val="en-US" w:bidi="ar-DZ"/>
              </w:rPr>
              <w:t>ⵝⴰⵣⴻⴷⴷⴰⵢⵝⵏⵜⵙⴻⴿⵍⵉⵡⵉⵏⴸⵝⵓⵝⵍⴰⵢⵉⵏ</w:t>
            </w:r>
          </w:p>
        </w:tc>
      </w:tr>
      <w:tr w:rsidR="0095221C" w:rsidRPr="0095221C" w:rsidTr="0095221C">
        <w:trPr>
          <w:gridAfter w:val="1"/>
          <w:wAfter w:w="52" w:type="dxa"/>
          <w:cantSplit/>
          <w:trHeight w:val="35"/>
          <w:jc w:val="center"/>
        </w:trPr>
        <w:tc>
          <w:tcPr>
            <w:tcW w:w="3588" w:type="dxa"/>
            <w:hideMark/>
          </w:tcPr>
          <w:p w:rsidR="0095221C" w:rsidRPr="0095221C" w:rsidRDefault="0095221C" w:rsidP="0095221C">
            <w:pPr>
              <w:keepNext/>
              <w:bidi/>
              <w:spacing w:after="0"/>
              <w:ind w:right="64"/>
              <w:outlineLvl w:val="2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 w:bidi="ar-DZ"/>
              </w:rPr>
            </w:pPr>
            <w:r w:rsidRPr="0095221C">
              <w:rPr>
                <w:rFonts w:asciiTheme="majorBidi" w:eastAsia="Times New Roman" w:hAnsiTheme="majorBidi" w:cstheme="majorBidi" w:hint="cs"/>
                <w:b/>
                <w:sz w:val="24"/>
                <w:szCs w:val="24"/>
                <w:rtl/>
                <w:lang w:val="en-US" w:bidi="ar-DZ"/>
              </w:rPr>
              <w:t>جامعة مولود معمري-تيزي وزو</w:t>
            </w:r>
          </w:p>
        </w:tc>
        <w:tc>
          <w:tcPr>
            <w:tcW w:w="2277" w:type="dxa"/>
            <w:vMerge w:val="restart"/>
            <w:hideMark/>
          </w:tcPr>
          <w:p w:rsidR="0095221C" w:rsidRPr="0095221C" w:rsidRDefault="0095221C" w:rsidP="0095221C">
            <w:pPr>
              <w:keepNext/>
              <w:bidi/>
              <w:spacing w:after="0"/>
              <w:jc w:val="both"/>
              <w:outlineLvl w:val="0"/>
              <w:rPr>
                <w:rFonts w:asciiTheme="majorBidi" w:eastAsia="Times New Roman" w:hAnsiTheme="majorBidi" w:cstheme="majorBidi"/>
                <w:kern w:val="32"/>
                <w:sz w:val="24"/>
                <w:szCs w:val="24"/>
                <w:lang w:val="en-US" w:eastAsia="en-US" w:bidi="ar-DZ"/>
              </w:rPr>
            </w:pPr>
            <w:r w:rsidRPr="0095221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D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5" o:spid="_x0000_s1028" type="#_x0000_t202" style="position:absolute;left:0;text-align:left;margin-left:.85pt;margin-top:-.2pt;width:109.15pt;height:60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" filled="f" stroked="f">
                  <v:textbox>
                    <w:txbxContent>
                      <w:p w:rsidR="0095221C" w:rsidRDefault="0095221C" w:rsidP="0095221C">
                        <w:pPr>
                          <w:bidi/>
                          <w:ind w:left="30"/>
                        </w:pPr>
                      </w:p>
                    </w:txbxContent>
                  </v:textbox>
                </v:shape>
              </w:pict>
            </w:r>
            <w:r w:rsidRPr="0095221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D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0.2pt;margin-top:8.25pt;width:88pt;height:54.55pt;z-index:251661312;visibility:visible;mso-wrap-edited:f;mso-position-horizontal-relative:text;mso-position-vertical-relative:text">
                  <v:imagedata r:id="rId7" o:title=""/>
                </v:shape>
                <o:OLEObject Type="Embed" ProgID="Word.Picture.8" ShapeID="_x0000_s1029" DrawAspect="Content" ObjectID="_1660033691" r:id="rId8"/>
              </w:pict>
            </w:r>
          </w:p>
        </w:tc>
        <w:tc>
          <w:tcPr>
            <w:tcW w:w="4112" w:type="dxa"/>
            <w:vAlign w:val="center"/>
            <w:hideMark/>
          </w:tcPr>
          <w:p w:rsidR="0095221C" w:rsidRPr="0095221C" w:rsidRDefault="0095221C" w:rsidP="0095221C">
            <w:pPr>
              <w:keepNext/>
              <w:bidi/>
              <w:spacing w:after="0"/>
              <w:jc w:val="right"/>
              <w:outlineLvl w:val="1"/>
              <w:rPr>
                <w:rFonts w:eastAsia="Times New Roman" w:cstheme="majorBidi"/>
                <w:b/>
                <w:iCs/>
                <w:smallCaps/>
                <w:spacing w:val="-14"/>
                <w:sz w:val="24"/>
                <w:szCs w:val="24"/>
                <w:lang w:bidi="ar-DZ"/>
              </w:rPr>
            </w:pPr>
            <w:r w:rsidRPr="0095221C">
              <w:rPr>
                <w:rFonts w:eastAsia="Times New Roman" w:cstheme="majorBidi"/>
                <w:b/>
                <w:iCs/>
                <w:smallCaps/>
                <w:spacing w:val="-14"/>
                <w:sz w:val="24"/>
                <w:szCs w:val="24"/>
                <w:lang w:bidi="ar-DZ"/>
              </w:rPr>
              <w:t>Université Mouloud Mammeri de Tizi-Ouzou</w:t>
            </w:r>
          </w:p>
        </w:tc>
      </w:tr>
      <w:tr w:rsidR="0095221C" w:rsidRPr="0095221C" w:rsidTr="0095221C">
        <w:trPr>
          <w:gridAfter w:val="1"/>
          <w:wAfter w:w="52" w:type="dxa"/>
          <w:cantSplit/>
          <w:trHeight w:val="35"/>
          <w:jc w:val="center"/>
        </w:trPr>
        <w:tc>
          <w:tcPr>
            <w:tcW w:w="3588" w:type="dxa"/>
            <w:hideMark/>
          </w:tcPr>
          <w:p w:rsidR="0095221C" w:rsidRPr="0095221C" w:rsidRDefault="0095221C" w:rsidP="0095221C">
            <w:pPr>
              <w:keepNext/>
              <w:bidi/>
              <w:spacing w:after="0"/>
              <w:ind w:right="64"/>
              <w:outlineLvl w:val="0"/>
              <w:rPr>
                <w:rFonts w:asciiTheme="majorBidi" w:eastAsia="Times New Roman" w:hAnsiTheme="majorBidi" w:cstheme="majorBidi"/>
                <w:b/>
                <w:kern w:val="32"/>
                <w:sz w:val="24"/>
                <w:szCs w:val="24"/>
                <w:lang w:val="en-US" w:eastAsia="en-US" w:bidi="ar-DZ"/>
              </w:rPr>
            </w:pPr>
            <w:r w:rsidRPr="0095221C">
              <w:rPr>
                <w:rFonts w:asciiTheme="majorBidi" w:eastAsia="Times New Roman" w:hAnsiTheme="majorBidi" w:cstheme="majorBidi" w:hint="cs"/>
                <w:b/>
                <w:kern w:val="32"/>
                <w:sz w:val="24"/>
                <w:szCs w:val="24"/>
                <w:rtl/>
                <w:lang w:val="en-US" w:eastAsia="en-US" w:bidi="ar-DZ"/>
              </w:rPr>
              <w:t>كلية الآداب واللغات</w:t>
            </w:r>
          </w:p>
        </w:tc>
        <w:tc>
          <w:tcPr>
            <w:tcW w:w="0" w:type="auto"/>
            <w:vMerge/>
            <w:vAlign w:val="center"/>
            <w:hideMark/>
          </w:tcPr>
          <w:p w:rsidR="0095221C" w:rsidRPr="0095221C" w:rsidRDefault="0095221C" w:rsidP="0095221C">
            <w:pPr>
              <w:spacing w:after="0" w:line="240" w:lineRule="auto"/>
              <w:rPr>
                <w:rFonts w:asciiTheme="majorBidi" w:eastAsia="Times New Roman" w:hAnsiTheme="majorBidi" w:cstheme="majorBidi"/>
                <w:kern w:val="32"/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4112" w:type="dxa"/>
            <w:vAlign w:val="center"/>
            <w:hideMark/>
          </w:tcPr>
          <w:p w:rsidR="0095221C" w:rsidRPr="0095221C" w:rsidRDefault="0095221C" w:rsidP="0095221C">
            <w:pPr>
              <w:keepNext/>
              <w:bidi/>
              <w:spacing w:after="0"/>
              <w:jc w:val="right"/>
              <w:outlineLvl w:val="1"/>
              <w:rPr>
                <w:rFonts w:eastAsia="Times New Roman" w:cstheme="majorBidi"/>
                <w:sz w:val="24"/>
                <w:szCs w:val="24"/>
                <w:lang w:bidi="ar-DZ"/>
              </w:rPr>
            </w:pPr>
            <w:r w:rsidRPr="0095221C">
              <w:rPr>
                <w:rFonts w:eastAsia="Times New Roman" w:cstheme="majorBidi"/>
                <w:b/>
                <w:iCs/>
                <w:smallCaps/>
                <w:spacing w:val="-10"/>
                <w:sz w:val="24"/>
                <w:szCs w:val="24"/>
                <w:lang w:bidi="ar-DZ"/>
              </w:rPr>
              <w:t>Faculté des Lettres et des langues</w:t>
            </w:r>
          </w:p>
        </w:tc>
      </w:tr>
    </w:tbl>
    <w:p w:rsidR="0095221C" w:rsidRPr="0095221C" w:rsidRDefault="0095221C" w:rsidP="0095221C">
      <w:pPr>
        <w:spacing w:after="0" w:line="240" w:lineRule="auto"/>
        <w:rPr>
          <w:rFonts w:asciiTheme="majorBidi" w:eastAsia="Times New Roman" w:hAnsiTheme="majorBidi" w:cstheme="majorBidi"/>
          <w:b/>
          <w:noProof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noProof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firstLine="72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firstLine="72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</w:pP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  <w:t>Avis de consultation N°0</w:t>
      </w:r>
      <w:r w:rsidRPr="0095221C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en-US" w:bidi="ar-DZ"/>
        </w:rPr>
        <w:t>4</w:t>
      </w: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  <w:t>/UMMTO/FLL/2020</w:t>
      </w:r>
    </w:p>
    <w:p w:rsidR="0095221C" w:rsidRPr="0095221C" w:rsidRDefault="0095221C" w:rsidP="0095221C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</w:pP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en-US" w:bidi="ar-DZ"/>
        </w:rPr>
        <w:t xml:space="preserve">Portant </w:t>
      </w: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  <w:t>«</w:t>
      </w: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en-US" w:bidi="ar-DZ"/>
        </w:rPr>
        <w:t>Acquisition du Mobilier Pédagogique</w:t>
      </w: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  <w:t>»</w:t>
      </w:r>
    </w:p>
    <w:p w:rsidR="0095221C" w:rsidRPr="0095221C" w:rsidRDefault="0095221C" w:rsidP="0095221C">
      <w:pPr>
        <w:tabs>
          <w:tab w:val="left" w:pos="1006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</w:pPr>
      <w:r w:rsidRPr="0095221C">
        <w:rPr>
          <w:rFonts w:asciiTheme="majorBidi" w:eastAsia="Times New Roman" w:hAnsiTheme="majorBidi" w:cstheme="majorBidi"/>
          <w:b/>
          <w:bCs/>
          <w:sz w:val="28"/>
          <w:szCs w:val="28"/>
          <w:lang w:eastAsia="en-US" w:bidi="ar-DZ"/>
        </w:rPr>
        <w:t>au profit de la Faculté des Lettres et des Langues de l’Université Mouloud MAMMERI de Tizi-Ouzou, dans le cadre de budget de fonctionnement de l’année 2020, Chapitre 22/22.</w:t>
      </w:r>
    </w:p>
    <w:p w:rsidR="0095221C" w:rsidRPr="0095221C" w:rsidRDefault="0095221C" w:rsidP="0095221C">
      <w:pPr>
        <w:tabs>
          <w:tab w:val="left" w:pos="10065"/>
        </w:tabs>
        <w:spacing w:after="0" w:line="240" w:lineRule="auto"/>
        <w:ind w:right="-388"/>
        <w:rPr>
          <w:rFonts w:asciiTheme="majorBidi" w:eastAsia="Times New Roman" w:hAnsiTheme="majorBidi" w:cstheme="majorBidi"/>
          <w:sz w:val="24"/>
          <w:szCs w:val="24"/>
          <w:lang w:val="en-US" w:eastAsia="en-US" w:bidi="ar-DZ"/>
        </w:rPr>
      </w:pPr>
    </w:p>
    <w:p w:rsidR="0095221C" w:rsidRPr="0095221C" w:rsidRDefault="0095221C" w:rsidP="0095221C">
      <w:pPr>
        <w:tabs>
          <w:tab w:val="left" w:pos="10065"/>
        </w:tabs>
        <w:spacing w:after="0" w:line="240" w:lineRule="auto"/>
        <w:ind w:right="-388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             La Faculté des lettres et des langues de l’université Mouloud MAMMERI de Tizi-Ouzou lance la consultation portant «Acquisition </w:t>
      </w:r>
      <w:r w:rsidRPr="0095221C">
        <w:rPr>
          <w:rFonts w:asciiTheme="majorBidi" w:eastAsia="Times New Roman" w:hAnsiTheme="majorBidi" w:cstheme="majorBidi"/>
          <w:sz w:val="24"/>
          <w:szCs w:val="24"/>
          <w:lang w:val="en-US" w:eastAsia="en-US" w:bidi="ar-DZ"/>
        </w:rPr>
        <w:t xml:space="preserve">du mobiliers </w:t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>pédagogiques » au profit de la Faculté des Lettres et des Langues de l’Université Mouloud MAMMERI de Tizi-Ouzou, dans le cadre de budget de fonctionnement de l’année 2020, Chapitre 22/22.</w:t>
      </w:r>
    </w:p>
    <w:p w:rsidR="0095221C" w:rsidRPr="0095221C" w:rsidRDefault="0095221C" w:rsidP="0095221C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Cs/>
          <w:i/>
          <w:i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>Le cahier des charges est structuré en un seul lot :</w:t>
      </w:r>
    </w:p>
    <w:p w:rsidR="0095221C" w:rsidRPr="0095221C" w:rsidRDefault="0095221C" w:rsidP="0095221C">
      <w:pPr>
        <w:bidi/>
        <w:spacing w:after="0"/>
        <w:ind w:left="284"/>
        <w:jc w:val="right"/>
        <w:rPr>
          <w:rFonts w:asciiTheme="majorBidi" w:eastAsia="Times New Roman" w:hAnsiTheme="majorBidi" w:cstheme="majorBidi"/>
          <w:b/>
          <w:sz w:val="24"/>
          <w:szCs w:val="24"/>
          <w:lang w:val="en-US" w:eastAsia="en-US" w:bidi="ar-DZ"/>
        </w:rPr>
      </w:pPr>
      <w:r w:rsidRPr="0095221C">
        <w:rPr>
          <w:rFonts w:asciiTheme="majorBidi" w:eastAsia="Times New Roman" w:hAnsiTheme="majorBidi" w:cstheme="majorBidi"/>
          <w:b/>
          <w:sz w:val="24"/>
          <w:szCs w:val="24"/>
          <w:lang w:val="en-US" w:eastAsia="en-US" w:bidi="ar-DZ"/>
        </w:rPr>
        <w:t xml:space="preserve">Lot 01 : Acquisition du </w:t>
      </w:r>
      <w:r w:rsidRPr="0095221C">
        <w:rPr>
          <w:rFonts w:asciiTheme="majorBidi" w:eastAsia="Times New Roman" w:hAnsiTheme="majorBidi" w:cstheme="majorBidi"/>
          <w:b/>
          <w:sz w:val="24"/>
          <w:szCs w:val="24"/>
          <w:lang w:eastAsia="en-US" w:bidi="ar-DZ"/>
        </w:rPr>
        <w:t>mobilier</w:t>
      </w:r>
      <w:r w:rsidRPr="0095221C">
        <w:rPr>
          <w:rFonts w:asciiTheme="majorBidi" w:eastAsia="Times New Roman" w:hAnsiTheme="majorBidi" w:cstheme="majorBidi"/>
          <w:b/>
          <w:sz w:val="24"/>
          <w:szCs w:val="24"/>
          <w:lang w:val="en-US" w:eastAsia="en-US" w:bidi="ar-DZ"/>
        </w:rPr>
        <w:t xml:space="preserve"> pédagogique </w:t>
      </w:r>
      <w:r w:rsidRPr="0095221C">
        <w:rPr>
          <w:rFonts w:asciiTheme="majorBidi" w:eastAsia="Times New Roman" w:hAnsiTheme="majorBidi" w:cstheme="majorBidi"/>
          <w:b/>
          <w:sz w:val="24"/>
          <w:szCs w:val="24"/>
          <w:lang w:val="en-US" w:eastAsia="en-US" w:bidi="ar-DZ"/>
        </w:rPr>
        <w:tab/>
        <w:t xml:space="preserve">     </w:t>
      </w:r>
    </w:p>
    <w:p w:rsidR="0095221C" w:rsidRPr="0095221C" w:rsidRDefault="0095221C" w:rsidP="0095221C">
      <w:pPr>
        <w:tabs>
          <w:tab w:val="left" w:pos="3300"/>
        </w:tabs>
        <w:bidi/>
        <w:spacing w:after="0" w:line="120" w:lineRule="auto"/>
        <w:rPr>
          <w:rFonts w:asciiTheme="majorBidi" w:eastAsia="Times New Roman" w:hAnsiTheme="majorBidi" w:cstheme="majorBidi"/>
          <w:b/>
          <w:sz w:val="26"/>
          <w:szCs w:val="26"/>
          <w:lang w:val="en-US" w:eastAsia="en-US" w:bidi="ar-DZ"/>
        </w:rPr>
      </w:pPr>
      <w:r w:rsidRPr="0095221C">
        <w:rPr>
          <w:rFonts w:asciiTheme="majorBidi" w:eastAsia="Times New Roman" w:hAnsiTheme="majorBidi" w:cstheme="majorBidi"/>
          <w:b/>
          <w:sz w:val="26"/>
          <w:szCs w:val="26"/>
          <w:lang w:val="en-US" w:eastAsia="en-US" w:bidi="ar-DZ"/>
        </w:rPr>
        <w:tab/>
      </w:r>
    </w:p>
    <w:p w:rsidR="0095221C" w:rsidRPr="0095221C" w:rsidRDefault="0095221C" w:rsidP="0095221C">
      <w:pPr>
        <w:spacing w:after="0" w:line="240" w:lineRule="auto"/>
        <w:ind w:firstLine="708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>Les soumissionnaires intéresses par la présente consultation sont invités à retirer le cahier des charges auprès du service des moyens généraux et de la maintenance de la Faculté des Lettres et des Langues de L’Université Mouloud MAMMERI de Tizi-Ouzou Campus Hasnaoua.</w:t>
      </w:r>
    </w:p>
    <w:p w:rsidR="0095221C" w:rsidRPr="0095221C" w:rsidRDefault="0095221C" w:rsidP="0095221C">
      <w:pPr>
        <w:spacing w:after="0" w:line="240" w:lineRule="auto"/>
        <w:ind w:firstLine="708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firstLine="708"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 xml:space="preserve">La présente consultation fera l’objet d’une publication sur le site web de l’UMMTO </w:t>
      </w:r>
      <w:hyperlink r:id="rId9" w:history="1">
        <w:r w:rsidRPr="0095221C">
          <w:rPr>
            <w:rFonts w:asciiTheme="majorBidi" w:eastAsia="Times New Roman" w:hAnsiTheme="majorBidi" w:cstheme="majorBidi"/>
            <w:bCs/>
            <w:sz w:val="24"/>
            <w:szCs w:val="24"/>
            <w:u w:val="single"/>
            <w:lang w:eastAsia="en-US" w:bidi="ar-DZ"/>
          </w:rPr>
          <w:t>www.ummto.dz</w:t>
        </w:r>
      </w:hyperlink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 xml:space="preserve"> et d’un affichage public.</w:t>
      </w:r>
    </w:p>
    <w:p w:rsidR="0095221C" w:rsidRPr="0095221C" w:rsidRDefault="0095221C" w:rsidP="0095221C">
      <w:pPr>
        <w:spacing w:after="0" w:line="240" w:lineRule="auto"/>
        <w:ind w:firstLine="708"/>
        <w:rPr>
          <w:rFonts w:asciiTheme="majorBidi" w:eastAsia="Times New Roman" w:hAnsiTheme="majorBidi" w:cstheme="majorBidi" w:hint="cs"/>
          <w:bCs/>
          <w:sz w:val="24"/>
          <w:szCs w:val="24"/>
          <w:rtl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right="-29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  <w:t>Les offres doivent comportées un dossier de candidature ; une offre technique et une offre financière. Chaque offre est insérée dans une enveloppe fermée et cachetée, indiquant la référence et l’objet de la consultation ainsi de la mention « candidature », « technique » et « financière », selon le cas. Les trois enveloppes sont mises dans une autre enveloppe anonyme, comportant la mention : </w:t>
      </w:r>
    </w:p>
    <w:p w:rsidR="0095221C" w:rsidRPr="0095221C" w:rsidRDefault="0095221C" w:rsidP="0095221C">
      <w:pPr>
        <w:spacing w:after="0" w:line="240" w:lineRule="auto"/>
        <w:ind w:right="-29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jc w:val="center"/>
        <w:rPr>
          <w:rFonts w:asciiTheme="majorBidi" w:eastAsia="Times New Roman" w:hAnsiTheme="majorBidi" w:cstheme="majorBidi"/>
          <w:b/>
        </w:rPr>
      </w:pPr>
      <w:r w:rsidRPr="0095221C">
        <w:rPr>
          <w:rFonts w:asciiTheme="majorBidi" w:eastAsia="Times New Roman" w:hAnsiTheme="majorBidi" w:cstheme="majorBidi"/>
          <w:b/>
        </w:rPr>
        <w:t>A n’ouvrir que par la commission d’ouverture des plis et d’évaluation des Offres.</w:t>
      </w:r>
    </w:p>
    <w:p w:rsidR="0095221C" w:rsidRPr="0095221C" w:rsidRDefault="0095221C" w:rsidP="0095221C">
      <w:pPr>
        <w:spacing w:after="0" w:line="240" w:lineRule="auto"/>
        <w:jc w:val="center"/>
        <w:rPr>
          <w:rFonts w:asciiTheme="majorBidi" w:eastAsia="Times New Roman" w:hAnsiTheme="majorBidi" w:cstheme="majorBidi"/>
          <w:b/>
        </w:rPr>
      </w:pPr>
      <w:r w:rsidRPr="0095221C">
        <w:rPr>
          <w:rFonts w:asciiTheme="majorBidi" w:eastAsia="Times New Roman" w:hAnsiTheme="majorBidi" w:cstheme="majorBidi"/>
          <w:b/>
        </w:rPr>
        <w:t>Avis d’appel à une consultation N° 04/UMMTO/FLL/2020</w:t>
      </w:r>
    </w:p>
    <w:p w:rsidR="0095221C" w:rsidRPr="0095221C" w:rsidRDefault="0095221C" w:rsidP="009522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/>
          <w:sz w:val="24"/>
          <w:szCs w:val="24"/>
          <w:lang w:val="en-US" w:eastAsia="en-US" w:bidi="ar-DZ"/>
        </w:rPr>
        <w:t>«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 xml:space="preserve"> Acquisition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en-US" w:bidi="ar-DZ"/>
        </w:rPr>
        <w:t xml:space="preserve">du mobiliers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 xml:space="preserve">pédagogiques </w:t>
      </w:r>
      <w:r w:rsidRPr="0095221C">
        <w:rPr>
          <w:rFonts w:asciiTheme="majorBidi" w:eastAsia="Times New Roman" w:hAnsiTheme="majorBidi" w:cstheme="majorBidi"/>
          <w:b/>
          <w:lang w:val="en-US" w:eastAsia="en-US" w:bidi="ar-DZ"/>
        </w:rPr>
        <w:t>»</w:t>
      </w:r>
      <w:r w:rsidRPr="0095221C">
        <w:rPr>
          <w:rFonts w:asciiTheme="majorBidi" w:eastAsia="Times New Roman" w:hAnsiTheme="majorBidi" w:cstheme="majorBidi"/>
          <w:b/>
          <w:sz w:val="24"/>
          <w:szCs w:val="24"/>
          <w:lang w:eastAsia="en-US" w:bidi="ar-DZ"/>
        </w:rPr>
        <w:t>.</w:t>
      </w:r>
    </w:p>
    <w:p w:rsidR="0095221C" w:rsidRPr="0095221C" w:rsidRDefault="0095221C" w:rsidP="0095221C">
      <w:pPr>
        <w:spacing w:after="0" w:line="240" w:lineRule="auto"/>
        <w:jc w:val="center"/>
        <w:rPr>
          <w:rFonts w:asciiTheme="majorBidi" w:eastAsia="Times New Roman" w:hAnsiTheme="majorBidi" w:cstheme="majorBidi"/>
          <w:b/>
        </w:rPr>
      </w:pPr>
      <w:r w:rsidRPr="0095221C">
        <w:rPr>
          <w:rFonts w:asciiTheme="majorBidi" w:eastAsia="Times New Roman" w:hAnsiTheme="majorBidi" w:cstheme="majorBidi"/>
          <w:b/>
        </w:rPr>
        <w:t>Au profit de La Faculté des Lettres et des Langues de l’Université Mouloud MAMMERI de Tizi-Ouzou</w:t>
      </w:r>
    </w:p>
    <w:p w:rsidR="0095221C" w:rsidRPr="0095221C" w:rsidRDefault="0095221C" w:rsidP="0095221C">
      <w:pPr>
        <w:spacing w:after="0" w:line="240" w:lineRule="auto"/>
        <w:ind w:right="-29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left="-240" w:right="-246"/>
        <w:rPr>
          <w:rFonts w:asciiTheme="majorBidi" w:eastAsia="Times New Roman" w:hAnsiTheme="majorBidi" w:cstheme="majorBidi"/>
          <w:b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b/>
          <w:sz w:val="24"/>
          <w:szCs w:val="24"/>
        </w:rPr>
        <w:t>A. Dossier de candidature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 xml:space="preserve">Déclaration de candidature dûment renseignée, signée, datée et cachetée par le soumissionnaire 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 xml:space="preserve">Déclaration de probité dûment renseignée, signée, datée et cachetée par le soumissionnaire 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Les statuts (pour les sociétés)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lastRenderedPageBreak/>
        <w:t>Documents relatifs au pouvoir habilitant les personnes à engager l’Entreprise.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Tout document permettant d’évaluer les capacités des candidats ou des soumissionnaires le cas échéant, des spis-traitants.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Capacités professionnelles (certificat de qualification).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Capacités financières (justifiées par les bilans financiers des trois dernières années).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 xml:space="preserve">capacités techniques : </w:t>
      </w:r>
    </w:p>
    <w:p w:rsidR="0095221C" w:rsidRPr="0095221C" w:rsidRDefault="0095221C" w:rsidP="0095221C">
      <w:pPr>
        <w:numPr>
          <w:ilvl w:val="0"/>
          <w:numId w:val="2"/>
        </w:numPr>
        <w:spacing w:after="0" w:line="240" w:lineRule="auto"/>
        <w:ind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moyens humains : une déclaration CNAS atteste le nombre de salariés employés, une attestation de mise à jour délivrée par la CNAS et la CASNOS.</w:t>
      </w:r>
    </w:p>
    <w:p w:rsidR="0095221C" w:rsidRPr="0095221C" w:rsidRDefault="0095221C" w:rsidP="0095221C">
      <w:pPr>
        <w:spacing w:after="0" w:line="240" w:lineRule="auto"/>
        <w:ind w:left="-240" w:right="-246"/>
        <w:rPr>
          <w:rFonts w:asciiTheme="majorBidi" w:eastAsia="Times New Roman" w:hAnsiTheme="majorBidi" w:cstheme="majorBidi"/>
          <w:b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b/>
          <w:sz w:val="24"/>
          <w:szCs w:val="24"/>
        </w:rPr>
        <w:t>B. Offre technique 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Déclaration à souscrire dûment renseignée, datée signée et cachetée par le soumissionnaire.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Copie du registre de commerce.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Copie de l’identification fiscale.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Numéro et domiciliation du compte bancaire.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ind w:right="-246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>Copie de l'extrait des rôles apuré ou avec échéancier et daté de moins d’un mois à la date de la soumission ;</w:t>
      </w:r>
    </w:p>
    <w:p w:rsidR="0095221C" w:rsidRPr="0095221C" w:rsidRDefault="0095221C" w:rsidP="0095221C">
      <w:pPr>
        <w:spacing w:after="0" w:line="240" w:lineRule="auto"/>
        <w:ind w:left="-600"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 xml:space="preserve">                 -  Original du casier judiciaire datant de moins de trois mois à la date de la soumission      </w:t>
      </w:r>
    </w:p>
    <w:p w:rsidR="0095221C" w:rsidRPr="0095221C" w:rsidRDefault="0095221C" w:rsidP="0095221C">
      <w:pPr>
        <w:spacing w:after="0" w:line="240" w:lineRule="auto"/>
        <w:ind w:left="-600" w:right="-246"/>
        <w:rPr>
          <w:rFonts w:asciiTheme="majorBidi" w:eastAsia="Times New Roman" w:hAnsiTheme="majorBidi" w:cstheme="majorBidi"/>
          <w:bCs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sz w:val="24"/>
          <w:szCs w:val="24"/>
        </w:rPr>
        <w:t xml:space="preserve">                 -  </w:t>
      </w:r>
      <w:r w:rsidRPr="0095221C">
        <w:rPr>
          <w:rFonts w:asciiTheme="majorBidi" w:eastAsia="Times New Roman" w:hAnsiTheme="majorBidi" w:cstheme="majorBidi"/>
          <w:bCs/>
          <w:sz w:val="24"/>
          <w:szCs w:val="24"/>
        </w:rPr>
        <w:t>Cahier des charges côté et paraphé portant, à la dernière page, la mention « </w:t>
      </w:r>
      <w:r w:rsidRPr="0095221C">
        <w:rPr>
          <w:rFonts w:asciiTheme="majorBidi" w:eastAsia="Times New Roman" w:hAnsiTheme="majorBidi" w:cstheme="majorBidi"/>
          <w:b/>
          <w:i/>
          <w:iCs/>
          <w:sz w:val="24"/>
          <w:szCs w:val="24"/>
        </w:rPr>
        <w:t>lu et accepté</w:t>
      </w:r>
      <w:r w:rsidRPr="0095221C">
        <w:rPr>
          <w:rFonts w:asciiTheme="majorBidi" w:eastAsia="Times New Roman" w:hAnsiTheme="majorBidi" w:cstheme="majorBidi"/>
          <w:bCs/>
          <w:sz w:val="24"/>
          <w:szCs w:val="24"/>
        </w:rPr>
        <w:t> »</w:t>
      </w:r>
    </w:p>
    <w:p w:rsidR="0095221C" w:rsidRPr="0095221C" w:rsidRDefault="0095221C" w:rsidP="0095221C">
      <w:pPr>
        <w:spacing w:after="0" w:line="240" w:lineRule="auto"/>
        <w:ind w:left="-600" w:right="-246"/>
        <w:rPr>
          <w:rFonts w:asciiTheme="majorBidi" w:eastAsia="Times New Roman" w:hAnsiTheme="majorBidi" w:cstheme="majorBidi"/>
          <w:bCs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-  qualité du matériel et mobilier.</w:t>
      </w:r>
    </w:p>
    <w:p w:rsidR="0095221C" w:rsidRPr="0095221C" w:rsidRDefault="0095221C" w:rsidP="0095221C">
      <w:pPr>
        <w:spacing w:after="0" w:line="240" w:lineRule="auto"/>
        <w:ind w:left="-600" w:right="-246"/>
        <w:rPr>
          <w:rFonts w:asciiTheme="majorBidi" w:eastAsia="Times New Roman" w:hAnsiTheme="majorBidi" w:cstheme="majorBidi"/>
          <w:bCs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-  délai de livraison.</w:t>
      </w:r>
    </w:p>
    <w:p w:rsidR="0095221C" w:rsidRPr="0095221C" w:rsidRDefault="0095221C" w:rsidP="0095221C">
      <w:pPr>
        <w:spacing w:after="0" w:line="240" w:lineRule="auto"/>
        <w:ind w:left="-600" w:right="-246"/>
        <w:rPr>
          <w:rFonts w:asciiTheme="majorBidi" w:eastAsia="Times New Roman" w:hAnsiTheme="majorBidi" w:cstheme="majorBidi"/>
          <w:sz w:val="24"/>
          <w:szCs w:val="24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-  garantie du matériel et mobilier.</w:t>
      </w:r>
    </w:p>
    <w:p w:rsidR="0095221C" w:rsidRPr="0095221C" w:rsidRDefault="0095221C" w:rsidP="0095221C">
      <w:pPr>
        <w:spacing w:after="0" w:line="240" w:lineRule="auto"/>
        <w:ind w:left="-240" w:right="-246"/>
        <w:rPr>
          <w:rFonts w:asciiTheme="majorBidi" w:eastAsia="Times New Roman" w:hAnsiTheme="majorBidi" w:cstheme="majorBidi"/>
          <w:sz w:val="24"/>
          <w:szCs w:val="24"/>
        </w:rPr>
      </w:pPr>
    </w:p>
    <w:p w:rsidR="0095221C" w:rsidRPr="0095221C" w:rsidRDefault="0095221C" w:rsidP="0095221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 xml:space="preserve">C. Offre financière 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>Lettre de soumission dûment renseignée, datée, signée et cachetée par le soumissionnaire.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>Bordereau des prix unitaires signé, daté et cacheté par le soumissionnaire. (BPU)</w:t>
      </w:r>
    </w:p>
    <w:p w:rsidR="0095221C" w:rsidRPr="0095221C" w:rsidRDefault="0095221C" w:rsidP="0095221C">
      <w:pPr>
        <w:numPr>
          <w:ilvl w:val="0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>Détail quantitatif et estimatif et daté, signé, et cacheté par le soumissionnaire.(DQE)</w:t>
      </w:r>
    </w:p>
    <w:p w:rsidR="0095221C" w:rsidRPr="0095221C" w:rsidRDefault="0095221C" w:rsidP="0095221C">
      <w:pPr>
        <w:spacing w:after="0" w:line="240" w:lineRule="auto"/>
        <w:ind w:left="360"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right="-388" w:firstLine="360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Un délai de huit (08) jours est accordé aux soumissionnaires pour préparer et déposer leurs offres au niveau du secrétariat du décanat de la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>Faculté des Lettres et des Langues</w:t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 à compter du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>02/09/2020.</w:t>
      </w:r>
    </w:p>
    <w:p w:rsidR="0095221C" w:rsidRPr="0095221C" w:rsidRDefault="0095221C" w:rsidP="0095221C">
      <w:pPr>
        <w:spacing w:after="0" w:line="240" w:lineRule="auto"/>
        <w:ind w:right="-388" w:firstLine="360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ind w:right="-388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La date limite de dépôt des offres est fixée au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>09/09/2020 à 10h00mn.</w:t>
      </w:r>
    </w:p>
    <w:p w:rsidR="0095221C" w:rsidRPr="0095221C" w:rsidRDefault="0095221C" w:rsidP="0095221C">
      <w:pPr>
        <w:spacing w:after="0" w:line="240" w:lineRule="auto"/>
        <w:ind w:right="-388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L’ouverture des plis se fera, en présence des soumissionnaires qui le désirent le jour même de la date limite de dépôt des offres à </w:t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 xml:space="preserve">10h 30mn </w:t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>dans la salle de réunion de la faculté.</w:t>
      </w:r>
    </w:p>
    <w:p w:rsidR="0095221C" w:rsidRPr="0095221C" w:rsidRDefault="0095221C" w:rsidP="0095221C">
      <w:pPr>
        <w:spacing w:after="0" w:line="240" w:lineRule="auto"/>
        <w:ind w:right="-388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>La durée de validité des offres est égale à la durée de préparation des offres augmentée de trois (03) mois à compter de la date d’ouverture des plis</w:t>
      </w:r>
    </w:p>
    <w:p w:rsidR="0095221C" w:rsidRPr="0095221C" w:rsidRDefault="0095221C" w:rsidP="0095221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</w:p>
    <w:p w:rsidR="0095221C" w:rsidRPr="0095221C" w:rsidRDefault="0095221C" w:rsidP="0095221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>Tizi-Ouzou le, 02/09/2020</w:t>
      </w:r>
    </w:p>
    <w:p w:rsidR="0095221C" w:rsidRPr="0095221C" w:rsidRDefault="0095221C" w:rsidP="0095221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en-US" w:bidi="ar-DZ"/>
        </w:rPr>
      </w:pPr>
    </w:p>
    <w:p w:rsidR="0095221C" w:rsidRPr="0095221C" w:rsidRDefault="0095221C" w:rsidP="0095221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</w:pP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ab/>
      </w:r>
      <w:r w:rsidRPr="0095221C">
        <w:rPr>
          <w:rFonts w:asciiTheme="majorBidi" w:eastAsia="Times New Roman" w:hAnsiTheme="majorBidi" w:cstheme="majorBidi"/>
          <w:b/>
          <w:bCs/>
          <w:sz w:val="24"/>
          <w:szCs w:val="24"/>
          <w:lang w:eastAsia="en-US" w:bidi="ar-DZ"/>
        </w:rPr>
        <w:t>Le Doyen</w:t>
      </w:r>
    </w:p>
    <w:p w:rsidR="00B1754F" w:rsidRDefault="00B1754F"/>
    <w:sectPr w:rsidR="00B1754F" w:rsidSect="009522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54F" w:rsidRDefault="00B1754F" w:rsidP="0095221C">
      <w:pPr>
        <w:spacing w:after="0" w:line="240" w:lineRule="auto"/>
      </w:pPr>
      <w:r>
        <w:separator/>
      </w:r>
    </w:p>
  </w:endnote>
  <w:endnote w:type="continuationSeparator" w:id="1">
    <w:p w:rsidR="00B1754F" w:rsidRDefault="00B1754F" w:rsidP="0095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54F" w:rsidRDefault="00B1754F" w:rsidP="0095221C">
      <w:pPr>
        <w:spacing w:after="0" w:line="240" w:lineRule="auto"/>
      </w:pPr>
      <w:r>
        <w:separator/>
      </w:r>
    </w:p>
  </w:footnote>
  <w:footnote w:type="continuationSeparator" w:id="1">
    <w:p w:rsidR="00B1754F" w:rsidRDefault="00B1754F" w:rsidP="0095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78A"/>
    <w:multiLevelType w:val="hybridMultilevel"/>
    <w:tmpl w:val="67D615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76699"/>
    <w:multiLevelType w:val="hybridMultilevel"/>
    <w:tmpl w:val="D7C66DDA"/>
    <w:lvl w:ilvl="0" w:tplc="C3F8B9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21C"/>
    <w:rsid w:val="0095221C"/>
    <w:rsid w:val="00B1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2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221C"/>
  </w:style>
  <w:style w:type="paragraph" w:styleId="Pieddepage">
    <w:name w:val="footer"/>
    <w:basedOn w:val="Normal"/>
    <w:link w:val="PieddepageCar"/>
    <w:uiPriority w:val="99"/>
    <w:semiHidden/>
    <w:unhideWhenUsed/>
    <w:rsid w:val="00952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2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mto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2020-08-27T10:40:00Z</dcterms:created>
  <dcterms:modified xsi:type="dcterms:W3CDTF">2020-08-27T10:42:00Z</dcterms:modified>
</cp:coreProperties>
</file>